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after="80"/>
      </w:pPr>
      <w:r>
        <w:rPr>
          <w:rFonts w:ascii="Calibri" w:hAnsi="Calibri"/>
          <w:b/>
          <w:color w:val="2E74B5"/>
          <w:sz w:val="20"/>
        </w:rPr>
        <w:t>EXECUTIVE BRIEFING</w:t>
      </w:r>
    </w:p>
    <w:p>
      <w:pPr>
        <w:spacing w:before="0" w:after="100"/>
      </w:pPr>
      <w:r>
        <w:rPr>
          <w:rFonts w:ascii="Calibri" w:hAnsi="Calibri"/>
          <w:b/>
          <w:color w:val="1B2733"/>
          <w:sz w:val="48"/>
        </w:rPr>
        <w:t>Indigenous Land Title, Governance and Industry Certainty in Canada</w:t>
      </w:r>
    </w:p>
    <w:p>
      <w:pPr>
        <w:spacing w:after="240"/>
      </w:pPr>
      <w:r>
        <w:rPr>
          <w:rFonts w:ascii="Calibri" w:hAnsi="Calibri"/>
          <w:color w:val="5B6570"/>
          <w:sz w:val="26"/>
        </w:rPr>
        <w:t>Condensed review of the uploaded article, with current legal-status qualifications and recommended resolution paths</w:t>
      </w:r>
    </w:p>
    <w:p>
      <w:pPr>
        <w:spacing w:after="40"/>
      </w:pPr>
      <w:r>
        <w:rPr>
          <w:rFonts w:ascii="Calibri" w:hAnsi="Calibri"/>
          <w:b/>
          <w:color w:val="1B2733"/>
          <w:sz w:val="21"/>
        </w:rPr>
        <w:t xml:space="preserve">Purpose: </w:t>
      </w:r>
      <w:r>
        <w:rPr>
          <w:rFonts w:ascii="Calibri" w:hAnsi="Calibri"/>
          <w:color w:val="1B2733"/>
          <w:sz w:val="21"/>
        </w:rPr>
        <w:t>Draft for stakeholder review</w:t>
      </w:r>
    </w:p>
    <w:p>
      <w:pPr>
        <w:spacing w:after="40"/>
      </w:pPr>
      <w:r>
        <w:rPr>
          <w:rFonts w:ascii="Calibri" w:hAnsi="Calibri"/>
          <w:b/>
          <w:color w:val="1B2733"/>
          <w:sz w:val="21"/>
        </w:rPr>
        <w:t xml:space="preserve">Geographic focus: </w:t>
      </w:r>
      <w:r>
        <w:rPr>
          <w:rFonts w:ascii="Calibri" w:hAnsi="Calibri"/>
          <w:color w:val="1B2733"/>
          <w:sz w:val="21"/>
        </w:rPr>
        <w:t>British Columbia, with implications for other Canadian jurisdictions</w:t>
      </w:r>
    </w:p>
    <w:p>
      <w:pPr>
        <w:spacing w:after="40"/>
      </w:pPr>
      <w:r>
        <w:rPr>
          <w:rFonts w:ascii="Calibri" w:hAnsi="Calibri"/>
          <w:b/>
          <w:color w:val="1B2733"/>
          <w:sz w:val="21"/>
        </w:rPr>
        <w:t xml:space="preserve">Current to: </w:t>
      </w:r>
      <w:r>
        <w:rPr>
          <w:rFonts w:ascii="Calibri" w:hAnsi="Calibri"/>
          <w:color w:val="1B2733"/>
          <w:sz w:val="21"/>
        </w:rPr>
        <w:t>July 21, 2026</w:t>
      </w:r>
    </w:p>
    <w:p>
      <w:pPr>
        <w:spacing w:before="160" w:after="200"/>
        <w:pBdr>
          <w:bottom w:val="single" w:sz="18" w:space="4" w:color="2E74B5"/>
        </w:pBdr>
      </w:pPr>
    </w:p>
    <w:p>
      <w:pPr>
        <w:pStyle w:val="Heading1"/>
        <w:keepNext/>
      </w:pPr>
      <w:r>
        <w:rPr>
          <w:rFonts w:ascii="Calibri" w:hAnsi="Calibri"/>
          <w:color w:val="1B2733"/>
          <w:sz w:val="22"/>
        </w:rPr>
        <w:t>Executive summary</w:t>
      </w:r>
    </w:p>
    <w:tbl>
      <w:tblPr>
        <w:tblW w:type="dxa" w:w="9360"/>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vAlign w:val="center"/>
            <w:shd w:fill="F4F6F9"/>
          </w:tcPr>
          <w:p>
            <w:pPr>
              <w:spacing w:before="40" w:after="40" w:line="276" w:lineRule="auto"/>
            </w:pPr>
            <w:r>
              <w:rPr>
                <w:rFonts w:ascii="Calibri" w:hAnsi="Calibri"/>
                <w:b/>
                <w:color w:val="1F4D78"/>
                <w:sz w:val="22"/>
              </w:rPr>
              <w:t xml:space="preserve">Central finding: </w:t>
            </w:r>
            <w:r>
              <w:rPr>
                <w:rFonts w:ascii="Calibri" w:hAnsi="Calibri"/>
                <w:color w:val="1B2733"/>
                <w:sz w:val="22"/>
              </w:rPr>
              <w:t>The article argues that British Columbia’s central problem is not whether Aboriginal title exists—it clearly does—but the absence of a durable, transparent system for reconciling Aboriginal title with Crown land, private property, municipal authority and resource development. Its strongest point is that courts can determine legal rights and infringements, but they cannot design a complete land-management and economic-development framework.</w:t>
            </w:r>
          </w:p>
        </w:tc>
      </w:tr>
    </w:tbl>
    <w:p>
      <w:pPr>
        <w:spacing w:after="0"/>
      </w:pPr>
    </w:p>
    <w:p>
      <w:r>
        <w:rPr>
          <w:rFonts w:ascii="Calibri" w:hAnsi="Calibri"/>
          <w:i w:val="0"/>
          <w:color w:val="1B2733"/>
          <w:sz w:val="22"/>
        </w:rPr>
        <w:t>Successive governments have relied on slow treaty negotiations, litigation and individual reconciliation agreements. These mechanisms have produced important results, but they have not created consistent province-wide rules for land ownership, jurisdiction, compensation, cumulative effects or project approvals.</w:t>
      </w:r>
    </w:p>
    <w:p>
      <w:r>
        <w:rPr>
          <w:rFonts w:ascii="Calibri" w:hAnsi="Calibri"/>
          <w:i w:val="0"/>
          <w:color w:val="1B2733"/>
          <w:sz w:val="22"/>
        </w:rPr>
        <w:t>The article proposes an independent land-title tribunal. That concept has merit for notice, evidence, mediation and accountability, but a tribunal could not simply be created by B.C. to conclusively determine constitutional Aboriginal title. A credible model would need to be co-designed with First Nations and Canada, preserve access to the courts, accommodate overlapping claims and address private interests.</w:t>
      </w:r>
    </w:p>
    <w:p>
      <w:r>
        <w:rPr>
          <w:rFonts w:ascii="Calibri" w:hAnsi="Calibri"/>
          <w:i w:val="0"/>
          <w:color w:val="1B2733"/>
          <w:sz w:val="22"/>
        </w:rPr>
        <w:t>In the near term, appeals and bilateral agreements will continue. The more durable option is a hybrid land-title commission or tribunal operating alongside a reformed treaty process, transparent agreement-making, regional land-use planning and clear interim rules for landowners and project proponents.</w:t>
      </w:r>
    </w:p>
    <w:p>
      <w:pPr>
        <w:pStyle w:val="Heading2"/>
        <w:keepNext/>
      </w:pPr>
      <w:r>
        <w:rPr>
          <w:rFonts w:ascii="Calibri" w:hAnsi="Calibri"/>
          <w:color w:val="1B2733"/>
          <w:sz w:val="22"/>
        </w:rPr>
        <w:t>Key conclusions at a glance</w:t>
      </w:r>
    </w:p>
    <w:p>
      <w:pPr>
        <w:numPr>
          <w:ilvl w:val="0"/>
          <w:numId w:val="10"/>
        </w:numPr>
        <w:spacing w:before="0" w:after="160" w:line="280" w:lineRule="auto"/>
      </w:pPr>
      <w:r>
        <w:rPr>
          <w:rFonts w:ascii="Calibri" w:hAnsi="Calibri"/>
          <w:color w:val="1B2733"/>
          <w:sz w:val="22"/>
        </w:rPr>
        <w:t>British Columbia faces the most immediate exposure because most of the province lies outside historic treaties and several major title and DRIPA questions remain before appellate courts.</w:t>
      </w:r>
    </w:p>
    <w:p>
      <w:pPr>
        <w:numPr>
          <w:ilvl w:val="0"/>
          <w:numId w:val="10"/>
        </w:numPr>
        <w:spacing w:before="0" w:after="160" w:line="280" w:lineRule="auto"/>
      </w:pPr>
      <w:r>
        <w:rPr>
          <w:rFonts w:ascii="Calibri" w:hAnsi="Calibri"/>
          <w:color w:val="1B2733"/>
          <w:sz w:val="22"/>
        </w:rPr>
        <w:t>The article identifies a genuine governance gap, but sometimes presents disputed or appealed propositions as though they were final law.</w:t>
      </w:r>
    </w:p>
    <w:p>
      <w:pPr>
        <w:numPr>
          <w:ilvl w:val="0"/>
          <w:numId w:val="10"/>
        </w:numPr>
        <w:spacing w:before="0" w:after="160" w:line="280" w:lineRule="auto"/>
      </w:pPr>
      <w:r>
        <w:rPr>
          <w:rFonts w:ascii="Calibri" w:hAnsi="Calibri"/>
          <w:color w:val="1B2733"/>
          <w:sz w:val="22"/>
        </w:rPr>
        <w:t>A hybrid commission—combining public notice, mapping, mediation, negotiated settlement and adjudication by consent—is more practical than a unilateral tribunal with sweeping binding powers.</w:t>
      </w:r>
    </w:p>
    <w:p>
      <w:pPr>
        <w:numPr>
          <w:ilvl w:val="0"/>
          <w:numId w:val="10"/>
        </w:numPr>
        <w:spacing w:before="0" w:after="160" w:line="280" w:lineRule="auto"/>
      </w:pPr>
      <w:r>
        <w:rPr>
          <w:rFonts w:ascii="Calibri" w:hAnsi="Calibri"/>
          <w:color w:val="1B2733"/>
          <w:sz w:val="22"/>
        </w:rPr>
        <w:t>The effects will be uneven across Canada because treaty histories and modern land-claim arrangements differ substantially among jurisdictions.</w:t>
      </w:r>
    </w:p>
    <w:p>
      <w:pPr>
        <w:numPr>
          <w:ilvl w:val="0"/>
          <w:numId w:val="10"/>
        </w:numPr>
        <w:spacing w:before="0" w:after="160" w:line="280" w:lineRule="auto"/>
      </w:pPr>
      <w:r>
        <w:rPr>
          <w:rFonts w:ascii="Calibri" w:hAnsi="Calibri"/>
          <w:color w:val="1B2733"/>
          <w:sz w:val="22"/>
        </w:rPr>
        <w:t>For industry, earlier Indigenous engagement, regional cumulative-effects planning and durable participation agreements are becoming core project requirements rather than optional relationship measures.</w:t>
      </w:r>
    </w:p>
    <w:tbl>
      <w:tblPr>
        <w:tblW w:type="dxa" w:w="9360"/>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vAlign w:val="center"/>
            <w:shd w:fill="FFF6DE"/>
          </w:tcPr>
          <w:p>
            <w:pPr>
              <w:spacing w:before="40" w:after="40" w:line="276" w:lineRule="auto"/>
            </w:pPr>
            <w:r>
              <w:rPr>
                <w:rFonts w:ascii="Calibri" w:hAnsi="Calibri"/>
                <w:b/>
                <w:color w:val="B07A00"/>
                <w:sz w:val="22"/>
              </w:rPr>
              <w:t xml:space="preserve">Important qualification: </w:t>
            </w:r>
            <w:r>
              <w:rPr>
                <w:rFonts w:ascii="Calibri" w:hAnsi="Calibri"/>
                <w:color w:val="1B2733"/>
                <w:sz w:val="22"/>
              </w:rPr>
              <w:t>This document is policy analysis, not a legal opinion. Several of the decisions discussed are under appeal or otherwise remain capable of further judicial consideration.</w:t>
            </w:r>
          </w:p>
        </w:tc>
      </w:tr>
    </w:tbl>
    <w:p>
      <w:pPr>
        <w:spacing w:after="0"/>
      </w:pPr>
    </w:p>
    <w:p>
      <w:pPr>
        <w:pStyle w:val="Heading1"/>
        <w:keepNext/>
      </w:pPr>
      <w:r>
        <w:rPr>
          <w:rFonts w:ascii="Calibri" w:hAnsi="Calibri"/>
          <w:color w:val="1B2733"/>
          <w:sz w:val="22"/>
        </w:rPr>
        <w:t>1. Main issues identified in the article</w:t>
      </w:r>
    </w:p>
    <w:p>
      <w:pPr>
        <w:pStyle w:val="Heading2"/>
        <w:keepNext/>
      </w:pPr>
      <w:r>
        <w:rPr>
          <w:rFonts w:ascii="Calibri" w:hAnsi="Calibri"/>
          <w:color w:val="1B2733"/>
          <w:sz w:val="22"/>
        </w:rPr>
        <w:t>Historical and legal foundation</w:t>
      </w:r>
    </w:p>
    <w:p>
      <w:pPr>
        <w:numPr>
          <w:ilvl w:val="0"/>
          <w:numId w:val="10"/>
        </w:numPr>
        <w:spacing w:before="0" w:after="160" w:line="280" w:lineRule="auto"/>
      </w:pPr>
      <w:r>
        <w:rPr>
          <w:rFonts w:ascii="Calibri" w:hAnsi="Calibri"/>
          <w:color w:val="1B2733"/>
          <w:sz w:val="22"/>
        </w:rPr>
        <w:t>Most of British Columbia was not covered by historic treaties before the province entered Confederation.</w:t>
      </w:r>
    </w:p>
    <w:p>
      <w:pPr>
        <w:numPr>
          <w:ilvl w:val="0"/>
          <w:numId w:val="10"/>
        </w:numPr>
        <w:spacing w:before="0" w:after="160" w:line="280" w:lineRule="auto"/>
      </w:pPr>
      <w:r>
        <w:rPr>
          <w:rFonts w:ascii="Calibri" w:hAnsi="Calibri"/>
          <w:color w:val="1B2733"/>
          <w:sz w:val="22"/>
        </w:rPr>
        <w:t>Aboriginal title was not automatically eliminated merely because the Crown later issued grants, licences or fee-simple interests.</w:t>
      </w:r>
    </w:p>
    <w:p>
      <w:pPr>
        <w:numPr>
          <w:ilvl w:val="0"/>
          <w:numId w:val="10"/>
        </w:numPr>
        <w:spacing w:before="0" w:after="160" w:line="280" w:lineRule="auto"/>
      </w:pPr>
      <w:r>
        <w:rPr>
          <w:rFonts w:ascii="Calibri" w:hAnsi="Calibri"/>
          <w:color w:val="1B2733"/>
          <w:sz w:val="22"/>
        </w:rPr>
        <w:t>The historic denial of Indigenous title left unresolved questions about ownership, jurisdiction, provincial law, compensation and the relationship between Aboriginal title and private property.</w:t>
      </w:r>
    </w:p>
    <w:p>
      <w:pPr>
        <w:numPr>
          <w:ilvl w:val="0"/>
          <w:numId w:val="10"/>
        </w:numPr>
        <w:spacing w:before="0" w:after="160" w:line="280" w:lineRule="auto"/>
      </w:pPr>
      <w:r>
        <w:rPr>
          <w:rFonts w:ascii="Calibri" w:hAnsi="Calibri"/>
          <w:color w:val="1B2733"/>
          <w:sz w:val="22"/>
        </w:rPr>
        <w:t>Calder, Delgamuukw and Tsilhqot’in progressively confirmed that Aboriginal title exists and is a right to the land itself.</w:t>
      </w:r>
    </w:p>
    <w:p>
      <w:r>
        <w:rPr>
          <w:rFonts w:ascii="Calibri" w:hAnsi="Calibri"/>
          <w:b/>
          <w:color w:val="1B2733"/>
          <w:sz w:val="22"/>
        </w:rPr>
        <w:t>Legal anchor:</w:t>
      </w:r>
      <w:r>
        <w:rPr>
          <w:rFonts w:ascii="Calibri" w:hAnsi="Calibri"/>
          <w:i w:val="0"/>
          <w:color w:val="1B2733"/>
          <w:sz w:val="22"/>
        </w:rPr>
        <w:t xml:space="preserve"> Once Aboriginal title is established, government generally requires the title holder’s consent or must justify an infringement under section 35 of the Constitution Act, 1982. </w:t>
      </w:r>
      <w:hyperlink r:id="rId11">
        <w:r>
          <w:rPr>
            <w:rFonts w:ascii="Calibri" w:hAnsi="Calibri"/>
            <w:color w:val="2E74B5"/>
            <w:u w:val="single"/>
          </w:rPr>
          <w:t>Supreme Court of Canada — Tsilhqot’in Nation v. British Columbia</w:t>
        </w:r>
      </w:hyperlink>
    </w:p>
    <w:p>
      <w:pPr>
        <w:pStyle w:val="Heading2"/>
        <w:keepNext/>
      </w:pPr>
      <w:r>
        <w:rPr>
          <w:rFonts w:ascii="Calibri" w:hAnsi="Calibri"/>
          <w:color w:val="1B2733"/>
          <w:sz w:val="22"/>
        </w:rPr>
        <w:t>Failure to establish a comprehensive process</w:t>
      </w:r>
    </w:p>
    <w:p>
      <w:pPr>
        <w:numPr>
          <w:ilvl w:val="0"/>
          <w:numId w:val="10"/>
        </w:numPr>
        <w:spacing w:before="0" w:after="160" w:line="280" w:lineRule="auto"/>
      </w:pPr>
      <w:r>
        <w:rPr>
          <w:rFonts w:ascii="Calibri" w:hAnsi="Calibri"/>
          <w:color w:val="1B2733"/>
          <w:sz w:val="22"/>
        </w:rPr>
        <w:t>The B.C. treaty process has produced important modern treaties but has not resolved most outstanding title questions.</w:t>
      </w:r>
    </w:p>
    <w:p>
      <w:pPr>
        <w:numPr>
          <w:ilvl w:val="0"/>
          <w:numId w:val="10"/>
        </w:numPr>
        <w:spacing w:before="0" w:after="160" w:line="280" w:lineRule="auto"/>
      </w:pPr>
      <w:r>
        <w:rPr>
          <w:rFonts w:ascii="Calibri" w:hAnsi="Calibri"/>
          <w:color w:val="1B2733"/>
          <w:sz w:val="22"/>
        </w:rPr>
        <w:t>Title litigation is unusually lengthy, expensive and adversarial.</w:t>
      </w:r>
    </w:p>
    <w:p>
      <w:pPr>
        <w:numPr>
          <w:ilvl w:val="0"/>
          <w:numId w:val="10"/>
        </w:numPr>
        <w:spacing w:before="0" w:after="160" w:line="280" w:lineRule="auto"/>
      </w:pPr>
      <w:r>
        <w:rPr>
          <w:rFonts w:ascii="Calibri" w:hAnsi="Calibri"/>
          <w:color w:val="1B2733"/>
          <w:sz w:val="22"/>
        </w:rPr>
        <w:t>Bilateral reconciliation and land-management agreements may solve local issues but can create inconsistent rules unless they operate within a broader framework.</w:t>
      </w:r>
    </w:p>
    <w:p>
      <w:pPr>
        <w:numPr>
          <w:ilvl w:val="0"/>
          <w:numId w:val="10"/>
        </w:numPr>
        <w:spacing w:before="0" w:after="160" w:line="280" w:lineRule="auto"/>
      </w:pPr>
      <w:r>
        <w:rPr>
          <w:rFonts w:ascii="Calibri" w:hAnsi="Calibri"/>
          <w:color w:val="1B2733"/>
          <w:sz w:val="22"/>
        </w:rPr>
        <w:t>Municipalities, private owners, neighbouring First Nations and affected industries have not always been informed early enough about decisions that may materially affect them.</w:t>
      </w:r>
    </w:p>
    <w:p>
      <w:pPr>
        <w:numPr>
          <w:ilvl w:val="0"/>
          <w:numId w:val="10"/>
        </w:numPr>
        <w:spacing w:before="0" w:after="160" w:line="280" w:lineRule="auto"/>
      </w:pPr>
      <w:r>
        <w:rPr>
          <w:rFonts w:ascii="Calibri" w:hAnsi="Calibri"/>
          <w:color w:val="1B2733"/>
          <w:sz w:val="22"/>
        </w:rPr>
        <w:t>First Nations have different laws, governance structures, territorial interests, environmental priorities and economic-development objectives; no single policy assumption can represent them all.</w:t>
      </w:r>
    </w:p>
    <w:p>
      <w:pPr>
        <w:pStyle w:val="Heading2"/>
        <w:keepNext/>
      </w:pPr>
      <w:r>
        <w:rPr>
          <w:rFonts w:ascii="Calibri" w:hAnsi="Calibri"/>
          <w:color w:val="1B2733"/>
          <w:sz w:val="22"/>
        </w:rPr>
        <w:t>Courts filling a policy vacuum</w:t>
      </w:r>
    </w:p>
    <w:p>
      <w:pPr>
        <w:numPr>
          <w:ilvl w:val="0"/>
          <w:numId w:val="10"/>
        </w:numPr>
        <w:spacing w:before="0" w:after="160" w:line="280" w:lineRule="auto"/>
      </w:pPr>
      <w:r>
        <w:rPr>
          <w:rFonts w:ascii="Calibri" w:hAnsi="Calibri"/>
          <w:color w:val="1B2733"/>
          <w:sz w:val="22"/>
        </w:rPr>
        <w:t>Courts can recognize title, determine whether Crown conduct is lawful and order governments to negotiate.</w:t>
      </w:r>
    </w:p>
    <w:p>
      <w:pPr>
        <w:numPr>
          <w:ilvl w:val="0"/>
          <w:numId w:val="10"/>
        </w:numPr>
        <w:spacing w:before="0" w:after="160" w:line="280" w:lineRule="auto"/>
      </w:pPr>
      <w:r>
        <w:rPr>
          <w:rFonts w:ascii="Calibri" w:hAnsi="Calibri"/>
          <w:color w:val="1B2733"/>
          <w:sz w:val="22"/>
        </w:rPr>
        <w:t>Courts are not designed to build province-wide systems for registration, zoning, taxation, tenure administration, cumulative-effects management or project permitting.</w:t>
      </w:r>
    </w:p>
    <w:p>
      <w:pPr>
        <w:numPr>
          <w:ilvl w:val="0"/>
          <w:numId w:val="10"/>
        </w:numPr>
        <w:spacing w:before="0" w:after="160" w:line="280" w:lineRule="auto"/>
      </w:pPr>
      <w:r>
        <w:rPr>
          <w:rFonts w:ascii="Calibri" w:hAnsi="Calibri"/>
          <w:color w:val="1B2733"/>
          <w:sz w:val="22"/>
        </w:rPr>
        <w:t>If directly affected landowners or businesses are not parties at the beginning of litigation, later participation can conflict with judicial finality.</w:t>
      </w:r>
    </w:p>
    <w:p>
      <w:pPr>
        <w:pStyle w:val="Heading2"/>
        <w:keepNext/>
      </w:pPr>
      <w:r>
        <w:rPr>
          <w:rFonts w:ascii="Calibri" w:hAnsi="Calibri"/>
          <w:color w:val="1B2733"/>
          <w:sz w:val="22"/>
        </w:rPr>
        <w:t>DRIPA and UNDRIP</w:t>
      </w:r>
    </w:p>
    <w:p>
      <w:pPr>
        <w:numPr>
          <w:ilvl w:val="0"/>
          <w:numId w:val="10"/>
        </w:numPr>
        <w:spacing w:before="0" w:after="160" w:line="280" w:lineRule="auto"/>
      </w:pPr>
      <w:r>
        <w:rPr>
          <w:rFonts w:ascii="Calibri" w:hAnsi="Calibri"/>
          <w:color w:val="1B2733"/>
          <w:sz w:val="22"/>
        </w:rPr>
        <w:t>B.C.’s Declaration on the Rights of Indigenous Peoples Act requires the Province to take measures to align provincial laws with UNDRIP and permits joint or consent-based decision-making agreements.</w:t>
      </w:r>
    </w:p>
    <w:p>
      <w:pPr>
        <w:numPr>
          <w:ilvl w:val="0"/>
          <w:numId w:val="10"/>
        </w:numPr>
        <w:spacing w:before="0" w:after="160" w:line="280" w:lineRule="auto"/>
      </w:pPr>
      <w:r>
        <w:rPr>
          <w:rFonts w:ascii="Calibri" w:hAnsi="Calibri"/>
          <w:color w:val="1B2733"/>
          <w:sz w:val="22"/>
        </w:rPr>
        <w:t>The 2025 Gitxaala decision increased the potential legal significance of UNDRIP in interpreting B.C. law.</w:t>
      </w:r>
    </w:p>
    <w:p>
      <w:pPr>
        <w:numPr>
          <w:ilvl w:val="0"/>
          <w:numId w:val="10"/>
        </w:numPr>
        <w:spacing w:before="0" w:after="160" w:line="280" w:lineRule="auto"/>
      </w:pPr>
      <w:r>
        <w:rPr>
          <w:rFonts w:ascii="Calibri" w:hAnsi="Calibri"/>
          <w:color w:val="1B2733"/>
          <w:sz w:val="22"/>
        </w:rPr>
        <w:t>The issue remains unsettled because the Supreme Court of Canada granted leave to appeal Gitxaala on May 21, 2026.</w:t>
      </w:r>
    </w:p>
    <w:p>
      <w:pPr>
        <w:numPr>
          <w:ilvl w:val="0"/>
          <w:numId w:val="10"/>
        </w:numPr>
        <w:spacing w:before="0" w:after="160" w:line="280" w:lineRule="auto"/>
      </w:pPr>
      <w:r>
        <w:rPr>
          <w:rFonts w:ascii="Calibri" w:hAnsi="Calibri"/>
          <w:color w:val="1B2733"/>
          <w:sz w:val="22"/>
        </w:rPr>
        <w:t>B.C. announced in April 2026 that it would not introduce spring legislation to suspend or amend DRIPA; consultation continues while the Supreme Court appeal proceeds.</w:t>
      </w:r>
    </w:p>
    <w:p>
      <w:pPr>
        <w:pStyle w:val="Heading1"/>
        <w:keepNext/>
      </w:pPr>
      <w:r>
        <w:rPr>
          <w:rFonts w:ascii="Calibri" w:hAnsi="Calibri"/>
          <w:color w:val="1B2733"/>
          <w:sz w:val="22"/>
        </w:rPr>
        <w:t>2. Legal-status qualifications</w:t>
      </w:r>
    </w:p>
    <w:p>
      <w:r>
        <w:rPr>
          <w:rFonts w:ascii="Calibri" w:hAnsi="Calibri"/>
          <w:i w:val="0"/>
          <w:color w:val="1B2733"/>
          <w:sz w:val="22"/>
        </w:rPr>
        <w:t>The article is forceful policy commentary rather than a neutral legal memorandum. The following qualifications should accompany any stakeholder circulation.</w:t>
      </w:r>
    </w:p>
    <w:tbl>
      <w:tblPr>
        <w:tblW w:type="dxa" w:w="9360"/>
        <w:tblLayout w:type="fixed"/>
        <w:tblLook w:firstColumn="1" w:firstRow="1" w:lastColumn="0" w:lastRow="0" w:noHBand="0" w:noVBand="1" w:val="04A0"/>
        <w:tblInd w:w="120" w:type="dxa"/>
      </w:tblPr>
      <w:tblGrid>
        <w:gridCol w:w="2550"/>
        <w:gridCol w:w="6810"/>
      </w:tblGrid>
      <w:tr>
        <w:trPr>
          <w:tblHeader w:val="true"/>
        </w:trPr>
        <w:tc>
          <w:tcPr>
            <w:tcW w:type="dxa" w:w="2550"/>
            <w:tcMar>
              <w:top w:w="80" w:type="dxa"/>
              <w:start w:w="120" w:type="dxa"/>
              <w:bottom w:w="80" w:type="dxa"/>
              <w:end w:w="120" w:type="dxa"/>
            </w:tcMar>
            <w:vAlign w:val="center"/>
            <w:shd w:fill="E8EEF5"/>
          </w:tcPr>
          <w:p>
            <w:pPr>
              <w:spacing w:before="0" w:after="40" w:line="259" w:lineRule="auto"/>
            </w:pPr>
            <w:r>
              <w:rPr>
                <w:rFonts w:ascii="Calibri" w:hAnsi="Calibri"/>
                <w:b/>
                <w:color w:val="1B2733"/>
                <w:sz w:val="18"/>
              </w:rPr>
              <w:t>Issue</w:t>
            </w:r>
          </w:p>
        </w:tc>
        <w:tc>
          <w:tcPr>
            <w:tcW w:type="dxa" w:w="6810"/>
            <w:tcMar>
              <w:top w:w="80" w:type="dxa"/>
              <w:start w:w="120" w:type="dxa"/>
              <w:bottom w:w="80" w:type="dxa"/>
              <w:end w:w="120" w:type="dxa"/>
            </w:tcMar>
            <w:vAlign w:val="center"/>
            <w:shd w:fill="E8EEF5"/>
          </w:tcPr>
          <w:p>
            <w:pPr>
              <w:spacing w:before="0" w:after="40" w:line="259" w:lineRule="auto"/>
            </w:pPr>
            <w:r>
              <w:rPr>
                <w:rFonts w:ascii="Calibri" w:hAnsi="Calibri"/>
                <w:b/>
                <w:color w:val="1B2733"/>
                <w:sz w:val="18"/>
              </w:rPr>
              <w:t>Required qualification</w:t>
            </w:r>
          </w:p>
        </w:tc>
      </w:tr>
      <w:tr>
        <w:tc>
          <w:tcPr>
            <w:tcW w:type="dxa" w:w="2550"/>
            <w:tcMar>
              <w:top w:w="80" w:type="dxa"/>
              <w:start w:w="120" w:type="dxa"/>
              <w:bottom w:w="80" w:type="dxa"/>
              <w:end w:w="120" w:type="dxa"/>
            </w:tcMar>
            <w:vAlign w:val="center"/>
          </w:tcPr>
          <w:p>
            <w:pPr>
              <w:spacing w:before="0" w:after="40" w:line="259" w:lineRule="auto"/>
            </w:pPr>
            <w:r>
              <w:rPr>
                <w:rFonts w:ascii="Calibri" w:hAnsi="Calibri"/>
                <w:b w:val="0"/>
                <w:color w:val="1B2733"/>
                <w:sz w:val="18"/>
              </w:rPr>
              <w:t>Cowichan and private property</w:t>
            </w:r>
          </w:p>
        </w:tc>
        <w:tc>
          <w:tcPr>
            <w:tcW w:type="dxa" w:w="6810"/>
            <w:tcMar>
              <w:top w:w="80" w:type="dxa"/>
              <w:start w:w="120" w:type="dxa"/>
              <w:bottom w:w="80" w:type="dxa"/>
              <w:end w:w="120" w:type="dxa"/>
            </w:tcMar>
            <w:vAlign w:val="center"/>
          </w:tcPr>
          <w:p>
            <w:pPr>
              <w:spacing w:before="0" w:after="40" w:line="259" w:lineRule="auto"/>
            </w:pPr>
            <w:r>
              <w:rPr>
                <w:rFonts w:ascii="Calibri" w:hAnsi="Calibri"/>
                <w:b w:val="0"/>
                <w:color w:val="1B2733"/>
                <w:sz w:val="18"/>
              </w:rPr>
              <w:t>The trial court recognized Aboriginal title over an area containing fee-simple interests, but did not cancel the registered titles of individual private owners. Certain interests held by Canada and Richmond were declared defective and invalid; remedies were suspended in part and the decision is under appeal.</w:t>
            </w:r>
          </w:p>
        </w:tc>
      </w:tr>
      <w:tr>
        <w:tc>
          <w:tcPr>
            <w:tcW w:type="dxa" w:w="2550"/>
            <w:tcMar>
              <w:top w:w="80" w:type="dxa"/>
              <w:start w:w="120" w:type="dxa"/>
              <w:bottom w:w="80" w:type="dxa"/>
              <w:end w:w="120" w:type="dxa"/>
            </w:tcMar>
            <w:vAlign w:val="center"/>
          </w:tcPr>
          <w:p>
            <w:pPr>
              <w:spacing w:before="0" w:after="40" w:line="259" w:lineRule="auto"/>
            </w:pPr>
            <w:r>
              <w:rPr>
                <w:rFonts w:ascii="Calibri" w:hAnsi="Calibri"/>
                <w:b w:val="0"/>
                <w:color w:val="1B2733"/>
                <w:sz w:val="18"/>
              </w:rPr>
              <w:t>Gitxaala and DRIPA</w:t>
            </w:r>
          </w:p>
        </w:tc>
        <w:tc>
          <w:tcPr>
            <w:tcW w:type="dxa" w:w="6810"/>
            <w:tcMar>
              <w:top w:w="80" w:type="dxa"/>
              <w:start w:w="120" w:type="dxa"/>
              <w:bottom w:w="80" w:type="dxa"/>
              <w:end w:w="120" w:type="dxa"/>
            </w:tcMar>
            <w:vAlign w:val="center"/>
          </w:tcPr>
          <w:p>
            <w:pPr>
              <w:spacing w:before="0" w:after="40" w:line="259" w:lineRule="auto"/>
            </w:pPr>
            <w:r>
              <w:rPr>
                <w:rFonts w:ascii="Calibri" w:hAnsi="Calibri"/>
                <w:b w:val="0"/>
                <w:color w:val="1B2733"/>
                <w:sz w:val="18"/>
              </w:rPr>
              <w:t>The B.C. Court of Appeal’s interpretation is not the final word. The Supreme Court of Canada granted leave to appeal in May 2026.</w:t>
            </w:r>
          </w:p>
        </w:tc>
      </w:tr>
      <w:tr>
        <w:tc>
          <w:tcPr>
            <w:tcW w:type="dxa" w:w="2550"/>
            <w:tcMar>
              <w:top w:w="80" w:type="dxa"/>
              <w:start w:w="120" w:type="dxa"/>
              <w:bottom w:w="80" w:type="dxa"/>
              <w:end w:w="120" w:type="dxa"/>
            </w:tcMar>
            <w:vAlign w:val="center"/>
          </w:tcPr>
          <w:p>
            <w:pPr>
              <w:spacing w:before="0" w:after="40" w:line="259" w:lineRule="auto"/>
            </w:pPr>
            <w:r>
              <w:rPr>
                <w:rFonts w:ascii="Calibri" w:hAnsi="Calibri"/>
                <w:b w:val="0"/>
                <w:color w:val="1B2733"/>
                <w:sz w:val="18"/>
              </w:rPr>
              <w:t>Nuchatlaht</w:t>
            </w:r>
          </w:p>
        </w:tc>
        <w:tc>
          <w:tcPr>
            <w:tcW w:type="dxa" w:w="6810"/>
            <w:tcMar>
              <w:top w:w="80" w:type="dxa"/>
              <w:start w:w="120" w:type="dxa"/>
              <w:bottom w:w="80" w:type="dxa"/>
              <w:end w:w="120" w:type="dxa"/>
            </w:tcMar>
            <w:vAlign w:val="center"/>
          </w:tcPr>
          <w:p>
            <w:pPr>
              <w:spacing w:before="0" w:after="40" w:line="259" w:lineRule="auto"/>
            </w:pPr>
            <w:r>
              <w:rPr>
                <w:rFonts w:ascii="Calibri" w:hAnsi="Calibri"/>
                <w:b w:val="0"/>
                <w:color w:val="1B2733"/>
                <w:sz w:val="18"/>
              </w:rPr>
              <w:t>The 2026 title claim excluded private lands and overlapping claims. It is an important title precedent, but not a direct private-property precedent.</w:t>
            </w:r>
          </w:p>
        </w:tc>
      </w:tr>
      <w:tr>
        <w:tc>
          <w:tcPr>
            <w:tcW w:type="dxa" w:w="2550"/>
            <w:tcMar>
              <w:top w:w="80" w:type="dxa"/>
              <w:start w:w="120" w:type="dxa"/>
              <w:bottom w:w="80" w:type="dxa"/>
              <w:end w:w="120" w:type="dxa"/>
            </w:tcMar>
            <w:vAlign w:val="center"/>
          </w:tcPr>
          <w:p>
            <w:pPr>
              <w:spacing w:before="0" w:after="40" w:line="259" w:lineRule="auto"/>
            </w:pPr>
            <w:r>
              <w:rPr>
                <w:rFonts w:ascii="Calibri" w:hAnsi="Calibri"/>
                <w:b w:val="0"/>
                <w:color w:val="1B2733"/>
                <w:sz w:val="18"/>
              </w:rPr>
              <w:t>‘Ninety-five per cent unresolved’</w:t>
            </w:r>
          </w:p>
        </w:tc>
        <w:tc>
          <w:tcPr>
            <w:tcW w:type="dxa" w:w="6810"/>
            <w:tcMar>
              <w:top w:w="80" w:type="dxa"/>
              <w:start w:w="120" w:type="dxa"/>
              <w:bottom w:w="80" w:type="dxa"/>
              <w:end w:w="120" w:type="dxa"/>
            </w:tcMar>
            <w:vAlign w:val="center"/>
          </w:tcPr>
          <w:p>
            <w:pPr>
              <w:spacing w:before="0" w:after="40" w:line="259" w:lineRule="auto"/>
            </w:pPr>
            <w:r>
              <w:rPr>
                <w:rFonts w:ascii="Calibri" w:hAnsi="Calibri"/>
                <w:b w:val="0"/>
                <w:color w:val="1B2733"/>
                <w:sz w:val="18"/>
              </w:rPr>
              <w:t>The absence of historic treaties across most of B.C. is highly significant, but it does not mean Aboriginal title has already been proven over every parcel. Title must be established through agreement, consent order or litigation.</w:t>
            </w:r>
          </w:p>
        </w:tc>
      </w:tr>
      <w:tr>
        <w:tc>
          <w:tcPr>
            <w:tcW w:type="dxa" w:w="2550"/>
            <w:tcMar>
              <w:top w:w="80" w:type="dxa"/>
              <w:start w:w="120" w:type="dxa"/>
              <w:bottom w:w="80" w:type="dxa"/>
              <w:end w:w="120" w:type="dxa"/>
            </w:tcMar>
            <w:vAlign w:val="center"/>
          </w:tcPr>
          <w:p>
            <w:pPr>
              <w:spacing w:before="0" w:after="40" w:line="259" w:lineRule="auto"/>
            </w:pPr>
            <w:r>
              <w:rPr>
                <w:rFonts w:ascii="Calibri" w:hAnsi="Calibri"/>
                <w:b w:val="0"/>
                <w:color w:val="1B2733"/>
                <w:sz w:val="18"/>
              </w:rPr>
              <w:t>Investment effects</w:t>
            </w:r>
          </w:p>
        </w:tc>
        <w:tc>
          <w:tcPr>
            <w:tcW w:type="dxa" w:w="6810"/>
            <w:tcMar>
              <w:top w:w="80" w:type="dxa"/>
              <w:start w:w="120" w:type="dxa"/>
              <w:bottom w:w="80" w:type="dxa"/>
              <w:end w:w="120" w:type="dxa"/>
            </w:tcMar>
            <w:vAlign w:val="center"/>
          </w:tcPr>
          <w:p>
            <w:pPr>
              <w:spacing w:before="0" w:after="40" w:line="259" w:lineRule="auto"/>
            </w:pPr>
            <w:r>
              <w:rPr>
                <w:rFonts w:ascii="Calibri" w:hAnsi="Calibri"/>
                <w:b w:val="0"/>
                <w:color w:val="1B2733"/>
                <w:sz w:val="18"/>
              </w:rPr>
              <w:t>Delay, financing and permitting risks are credible concerns, but statements that B.C. is no longer attracting investment require economic evidence beyond the article.</w:t>
            </w:r>
          </w:p>
        </w:tc>
      </w:tr>
    </w:tbl>
    <w:p>
      <w:pPr>
        <w:pStyle w:val="Heading1"/>
        <w:keepNext/>
      </w:pPr>
      <w:r>
        <w:rPr>
          <w:rFonts w:ascii="Calibri" w:hAnsi="Calibri"/>
          <w:color w:val="1B2733"/>
          <w:sz w:val="22"/>
        </w:rPr>
        <w:t>3. Most likely resolution paths</w:t>
      </w:r>
    </w:p>
    <w:p>
      <w:r>
        <w:rPr>
          <w:rFonts w:ascii="Calibri" w:hAnsi="Calibri"/>
          <w:i w:val="0"/>
          <w:color w:val="1B2733"/>
          <w:sz w:val="22"/>
        </w:rPr>
        <w:t>The first path below is the most likely in the short term. The hybrid institutional approach is the strongest candidate for durable resolution.</w:t>
      </w:r>
    </w:p>
    <w:tbl>
      <w:tblPr>
        <w:tblW w:type="dxa" w:w="9360"/>
        <w:tblLayout w:type="fixed"/>
        <w:tblLook w:firstColumn="1" w:firstRow="1" w:lastColumn="0" w:lastRow="0" w:noHBand="0" w:noVBand="1" w:val="04A0"/>
        <w:tblInd w:w="120" w:type="dxa"/>
      </w:tblPr>
      <w:tblGrid>
        <w:gridCol w:w="2200"/>
        <w:gridCol w:w="1250"/>
        <w:gridCol w:w="2700"/>
        <w:gridCol w:w="3210"/>
      </w:tblGrid>
      <w:tr>
        <w:trPr>
          <w:tblHeader w:val="true"/>
        </w:trPr>
        <w:tc>
          <w:tcPr>
            <w:tcW w:type="dxa" w:w="2200"/>
            <w:tcMar>
              <w:top w:w="80" w:type="dxa"/>
              <w:start w:w="120" w:type="dxa"/>
              <w:bottom w:w="80" w:type="dxa"/>
              <w:end w:w="120" w:type="dxa"/>
            </w:tcMar>
            <w:vAlign w:val="center"/>
            <w:shd w:fill="E8EEF5"/>
          </w:tcPr>
          <w:p>
            <w:pPr>
              <w:spacing w:before="0" w:after="40" w:line="259" w:lineRule="auto"/>
            </w:pPr>
            <w:r>
              <w:rPr>
                <w:rFonts w:ascii="Calibri" w:hAnsi="Calibri"/>
                <w:b/>
                <w:color w:val="1B2733"/>
                <w:sz w:val="17"/>
              </w:rPr>
              <w:t>Path</w:t>
            </w:r>
          </w:p>
        </w:tc>
        <w:tc>
          <w:tcPr>
            <w:tcW w:type="dxa" w:w="1250"/>
            <w:tcMar>
              <w:top w:w="80" w:type="dxa"/>
              <w:start w:w="120" w:type="dxa"/>
              <w:bottom w:w="80" w:type="dxa"/>
              <w:end w:w="120" w:type="dxa"/>
            </w:tcMar>
            <w:vAlign w:val="center"/>
            <w:shd w:fill="E8EEF5"/>
          </w:tcPr>
          <w:p>
            <w:pPr>
              <w:spacing w:before="0" w:after="40" w:line="259" w:lineRule="auto"/>
            </w:pPr>
            <w:r>
              <w:rPr>
                <w:rFonts w:ascii="Calibri" w:hAnsi="Calibri"/>
                <w:b/>
                <w:color w:val="1B2733"/>
                <w:sz w:val="17"/>
              </w:rPr>
              <w:t>Likelihood</w:t>
            </w:r>
          </w:p>
        </w:tc>
        <w:tc>
          <w:tcPr>
            <w:tcW w:type="dxa" w:w="2700"/>
            <w:tcMar>
              <w:top w:w="80" w:type="dxa"/>
              <w:start w:w="120" w:type="dxa"/>
              <w:bottom w:w="80" w:type="dxa"/>
              <w:end w:w="120" w:type="dxa"/>
            </w:tcMar>
            <w:vAlign w:val="center"/>
            <w:shd w:fill="E8EEF5"/>
          </w:tcPr>
          <w:p>
            <w:pPr>
              <w:spacing w:before="0" w:after="40" w:line="259" w:lineRule="auto"/>
            </w:pPr>
            <w:r>
              <w:rPr>
                <w:rFonts w:ascii="Calibri" w:hAnsi="Calibri"/>
                <w:b/>
                <w:color w:val="1B2733"/>
                <w:sz w:val="17"/>
              </w:rPr>
              <w:t>Advantages</w:t>
            </w:r>
          </w:p>
        </w:tc>
        <w:tc>
          <w:tcPr>
            <w:tcW w:type="dxa" w:w="3210"/>
            <w:tcMar>
              <w:top w:w="80" w:type="dxa"/>
              <w:start w:w="120" w:type="dxa"/>
              <w:bottom w:w="80" w:type="dxa"/>
              <w:end w:w="120" w:type="dxa"/>
            </w:tcMar>
            <w:vAlign w:val="center"/>
            <w:shd w:fill="E8EEF5"/>
          </w:tcPr>
          <w:p>
            <w:pPr>
              <w:spacing w:before="0" w:after="40" w:line="259" w:lineRule="auto"/>
            </w:pPr>
            <w:r>
              <w:rPr>
                <w:rFonts w:ascii="Calibri" w:hAnsi="Calibri"/>
                <w:b/>
                <w:color w:val="1B2733"/>
                <w:sz w:val="17"/>
              </w:rPr>
              <w:t>Major barriers</w:t>
            </w:r>
          </w:p>
        </w:tc>
      </w:tr>
      <w:tr>
        <w:tc>
          <w:tcPr>
            <w:tcW w:type="dxa" w:w="2200"/>
            <w:tcMar>
              <w:top w:w="80" w:type="dxa"/>
              <w:start w:w="120" w:type="dxa"/>
              <w:bottom w:w="80" w:type="dxa"/>
              <w:end w:w="120" w:type="dxa"/>
            </w:tcMar>
            <w:vAlign w:val="center"/>
          </w:tcPr>
          <w:p>
            <w:pPr>
              <w:spacing w:before="0" w:after="40" w:line="259" w:lineRule="auto"/>
            </w:pPr>
            <w:r>
              <w:rPr>
                <w:rFonts w:ascii="Calibri" w:hAnsi="Calibri"/>
                <w:b w:val="0"/>
                <w:color w:val="1B2733"/>
                <w:sz w:val="17"/>
              </w:rPr>
              <w:t>Continued appeals and case-by-case agreements</w:t>
            </w:r>
          </w:p>
        </w:tc>
        <w:tc>
          <w:tcPr>
            <w:tcW w:type="dxa" w:w="1250"/>
            <w:tcMar>
              <w:top w:w="80" w:type="dxa"/>
              <w:start w:w="120" w:type="dxa"/>
              <w:bottom w:w="80" w:type="dxa"/>
              <w:end w:w="120" w:type="dxa"/>
            </w:tcMar>
            <w:vAlign w:val="center"/>
          </w:tcPr>
          <w:p>
            <w:pPr>
              <w:spacing w:before="0" w:after="40" w:line="259" w:lineRule="auto"/>
            </w:pPr>
            <w:r>
              <w:rPr>
                <w:rFonts w:ascii="Calibri" w:hAnsi="Calibri"/>
                <w:b w:val="0"/>
                <w:color w:val="1B2733"/>
                <w:sz w:val="17"/>
              </w:rPr>
              <w:t>Very high</w:t>
              <w:br/>
              <w:t>(2–5 years)</w:t>
            </w:r>
          </w:p>
        </w:tc>
        <w:tc>
          <w:tcPr>
            <w:tcW w:type="dxa" w:w="2700"/>
            <w:tcMar>
              <w:top w:w="80" w:type="dxa"/>
              <w:start w:w="120" w:type="dxa"/>
              <w:bottom w:w="80" w:type="dxa"/>
              <w:end w:w="120" w:type="dxa"/>
            </w:tcMar>
            <w:vAlign w:val="center"/>
          </w:tcPr>
          <w:p>
            <w:pPr>
              <w:spacing w:before="0" w:after="40" w:line="259" w:lineRule="auto"/>
            </w:pPr>
            <w:r>
              <w:rPr>
                <w:rFonts w:ascii="Calibri" w:hAnsi="Calibri"/>
                <w:b w:val="0"/>
                <w:color w:val="1B2733"/>
                <w:sz w:val="17"/>
              </w:rPr>
              <w:t>Uses existing mechanisms and may resolve urgent local matters.</w:t>
            </w:r>
          </w:p>
        </w:tc>
        <w:tc>
          <w:tcPr>
            <w:tcW w:type="dxa" w:w="3210"/>
            <w:tcMar>
              <w:top w:w="80" w:type="dxa"/>
              <w:start w:w="120" w:type="dxa"/>
              <w:bottom w:w="80" w:type="dxa"/>
              <w:end w:w="120" w:type="dxa"/>
            </w:tcMar>
            <w:vAlign w:val="center"/>
          </w:tcPr>
          <w:p>
            <w:pPr>
              <w:spacing w:before="0" w:after="40" w:line="259" w:lineRule="auto"/>
            </w:pPr>
            <w:r>
              <w:rPr>
                <w:rFonts w:ascii="Calibri" w:hAnsi="Calibri"/>
                <w:b w:val="0"/>
                <w:color w:val="1B2733"/>
                <w:sz w:val="17"/>
              </w:rPr>
              <w:t>Slow, expensive, inconsistent and reactive.</w:t>
            </w:r>
          </w:p>
        </w:tc>
      </w:tr>
      <w:tr>
        <w:tc>
          <w:tcPr>
            <w:tcW w:type="dxa" w:w="2200"/>
            <w:tcMar>
              <w:top w:w="80" w:type="dxa"/>
              <w:start w:w="120" w:type="dxa"/>
              <w:bottom w:w="80" w:type="dxa"/>
              <w:end w:w="120" w:type="dxa"/>
            </w:tcMar>
            <w:vAlign w:val="center"/>
          </w:tcPr>
          <w:p>
            <w:pPr>
              <w:spacing w:before="0" w:after="40" w:line="259" w:lineRule="auto"/>
            </w:pPr>
            <w:r>
              <w:rPr>
                <w:rFonts w:ascii="Calibri" w:hAnsi="Calibri"/>
                <w:b w:val="0"/>
                <w:color w:val="1B2733"/>
                <w:sz w:val="17"/>
              </w:rPr>
              <w:t>Independent B.C. land-title commission</w:t>
            </w:r>
          </w:p>
        </w:tc>
        <w:tc>
          <w:tcPr>
            <w:tcW w:type="dxa" w:w="1250"/>
            <w:tcMar>
              <w:top w:w="80" w:type="dxa"/>
              <w:start w:w="120" w:type="dxa"/>
              <w:bottom w:w="80" w:type="dxa"/>
              <w:end w:w="120" w:type="dxa"/>
            </w:tcMar>
            <w:vAlign w:val="center"/>
          </w:tcPr>
          <w:p>
            <w:pPr>
              <w:spacing w:before="0" w:after="40" w:line="259" w:lineRule="auto"/>
            </w:pPr>
            <w:r>
              <w:rPr>
                <w:rFonts w:ascii="Calibri" w:hAnsi="Calibri"/>
                <w:b w:val="0"/>
                <w:color w:val="1B2733"/>
                <w:sz w:val="17"/>
              </w:rPr>
              <w:t>Moderate</w:t>
            </w:r>
          </w:p>
        </w:tc>
        <w:tc>
          <w:tcPr>
            <w:tcW w:type="dxa" w:w="2700"/>
            <w:tcMar>
              <w:top w:w="80" w:type="dxa"/>
              <w:start w:w="120" w:type="dxa"/>
              <w:bottom w:w="80" w:type="dxa"/>
              <w:end w:w="120" w:type="dxa"/>
            </w:tcMar>
            <w:vAlign w:val="center"/>
          </w:tcPr>
          <w:p>
            <w:pPr>
              <w:spacing w:before="0" w:after="40" w:line="259" w:lineRule="auto"/>
            </w:pPr>
            <w:r>
              <w:rPr>
                <w:rFonts w:ascii="Calibri" w:hAnsi="Calibri"/>
                <w:b w:val="0"/>
                <w:color w:val="1B2733"/>
                <w:sz w:val="17"/>
              </w:rPr>
              <w:t>Could provide notice, mapping, public hearings, mediation and recommendations.</w:t>
            </w:r>
          </w:p>
        </w:tc>
        <w:tc>
          <w:tcPr>
            <w:tcW w:type="dxa" w:w="3210"/>
            <w:tcMar>
              <w:top w:w="80" w:type="dxa"/>
              <w:start w:w="120" w:type="dxa"/>
              <w:bottom w:w="80" w:type="dxa"/>
              <w:end w:w="120" w:type="dxa"/>
            </w:tcMar>
            <w:vAlign w:val="center"/>
          </w:tcPr>
          <w:p>
            <w:pPr>
              <w:spacing w:before="0" w:after="40" w:line="259" w:lineRule="auto"/>
            </w:pPr>
            <w:r>
              <w:rPr>
                <w:rFonts w:ascii="Calibri" w:hAnsi="Calibri"/>
                <w:b w:val="0"/>
                <w:color w:val="1B2733"/>
                <w:sz w:val="17"/>
              </w:rPr>
              <w:t>Requires Indigenous confidence, sustained funding and clearly defined authority.</w:t>
            </w:r>
          </w:p>
        </w:tc>
      </w:tr>
      <w:tr>
        <w:tc>
          <w:tcPr>
            <w:tcW w:type="dxa" w:w="2200"/>
            <w:tcMar>
              <w:top w:w="80" w:type="dxa"/>
              <w:start w:w="120" w:type="dxa"/>
              <w:bottom w:w="80" w:type="dxa"/>
              <w:end w:w="120" w:type="dxa"/>
            </w:tcMar>
            <w:vAlign w:val="center"/>
          </w:tcPr>
          <w:p>
            <w:pPr>
              <w:spacing w:before="0" w:after="40" w:line="259" w:lineRule="auto"/>
            </w:pPr>
            <w:r>
              <w:rPr>
                <w:rFonts w:ascii="Calibri" w:hAnsi="Calibri"/>
                <w:b w:val="0"/>
                <w:color w:val="1B2733"/>
                <w:sz w:val="17"/>
              </w:rPr>
              <w:t>Tribunal with binding powers</w:t>
            </w:r>
          </w:p>
        </w:tc>
        <w:tc>
          <w:tcPr>
            <w:tcW w:type="dxa" w:w="1250"/>
            <w:tcMar>
              <w:top w:w="80" w:type="dxa"/>
              <w:start w:w="120" w:type="dxa"/>
              <w:bottom w:w="80" w:type="dxa"/>
              <w:end w:w="120" w:type="dxa"/>
            </w:tcMar>
            <w:vAlign w:val="center"/>
          </w:tcPr>
          <w:p>
            <w:pPr>
              <w:spacing w:before="0" w:after="40" w:line="259" w:lineRule="auto"/>
            </w:pPr>
            <w:r>
              <w:rPr>
                <w:rFonts w:ascii="Calibri" w:hAnsi="Calibri"/>
                <w:b w:val="0"/>
                <w:color w:val="1B2733"/>
                <w:sz w:val="17"/>
              </w:rPr>
              <w:t>Moderate–low unless co-designed</w:t>
            </w:r>
          </w:p>
        </w:tc>
        <w:tc>
          <w:tcPr>
            <w:tcW w:type="dxa" w:w="2700"/>
            <w:tcMar>
              <w:top w:w="80" w:type="dxa"/>
              <w:start w:w="120" w:type="dxa"/>
              <w:bottom w:w="80" w:type="dxa"/>
              <w:end w:w="120" w:type="dxa"/>
            </w:tcMar>
            <w:vAlign w:val="center"/>
          </w:tcPr>
          <w:p>
            <w:pPr>
              <w:spacing w:before="0" w:after="40" w:line="259" w:lineRule="auto"/>
            </w:pPr>
            <w:r>
              <w:rPr>
                <w:rFonts w:ascii="Calibri" w:hAnsi="Calibri"/>
                <w:b w:val="0"/>
                <w:color w:val="1B2733"/>
                <w:sz w:val="17"/>
              </w:rPr>
              <w:t>Offers greater finality and a structured evidentiary process.</w:t>
            </w:r>
          </w:p>
        </w:tc>
        <w:tc>
          <w:tcPr>
            <w:tcW w:type="dxa" w:w="3210"/>
            <w:tcMar>
              <w:top w:w="80" w:type="dxa"/>
              <w:start w:w="120" w:type="dxa"/>
              <w:bottom w:w="80" w:type="dxa"/>
              <w:end w:w="120" w:type="dxa"/>
            </w:tcMar>
            <w:vAlign w:val="center"/>
          </w:tcPr>
          <w:p>
            <w:pPr>
              <w:spacing w:before="0" w:after="40" w:line="259" w:lineRule="auto"/>
            </w:pPr>
            <w:r>
              <w:rPr>
                <w:rFonts w:ascii="Calibri" w:hAnsi="Calibri"/>
                <w:b w:val="0"/>
                <w:color w:val="1B2733"/>
                <w:sz w:val="17"/>
              </w:rPr>
              <w:t>Constitutional jurisdiction, consent, overlapping claims and judicial review.</w:t>
            </w:r>
          </w:p>
        </w:tc>
      </w:tr>
      <w:tr>
        <w:tc>
          <w:tcPr>
            <w:tcW w:type="dxa" w:w="2200"/>
            <w:tcMar>
              <w:top w:w="80" w:type="dxa"/>
              <w:start w:w="120" w:type="dxa"/>
              <w:bottom w:w="80" w:type="dxa"/>
              <w:end w:w="120" w:type="dxa"/>
            </w:tcMar>
            <w:vAlign w:val="center"/>
          </w:tcPr>
          <w:p>
            <w:pPr>
              <w:spacing w:before="0" w:after="40" w:line="259" w:lineRule="auto"/>
            </w:pPr>
            <w:r>
              <w:rPr>
                <w:rFonts w:ascii="Calibri" w:hAnsi="Calibri"/>
                <w:b w:val="0"/>
                <w:color w:val="1B2733"/>
                <w:sz w:val="17"/>
              </w:rPr>
              <w:t>Reformed modern-treaty process</w:t>
            </w:r>
          </w:p>
        </w:tc>
        <w:tc>
          <w:tcPr>
            <w:tcW w:type="dxa" w:w="1250"/>
            <w:tcMar>
              <w:top w:w="80" w:type="dxa"/>
              <w:start w:w="120" w:type="dxa"/>
              <w:bottom w:w="80" w:type="dxa"/>
              <w:end w:w="120" w:type="dxa"/>
            </w:tcMar>
            <w:vAlign w:val="center"/>
          </w:tcPr>
          <w:p>
            <w:pPr>
              <w:spacing w:before="0" w:after="40" w:line="259" w:lineRule="auto"/>
            </w:pPr>
            <w:r>
              <w:rPr>
                <w:rFonts w:ascii="Calibri" w:hAnsi="Calibri"/>
                <w:b w:val="0"/>
                <w:color w:val="1B2733"/>
                <w:sz w:val="17"/>
              </w:rPr>
              <w:t>Moderate</w:t>
            </w:r>
          </w:p>
        </w:tc>
        <w:tc>
          <w:tcPr>
            <w:tcW w:type="dxa" w:w="2700"/>
            <w:tcMar>
              <w:top w:w="80" w:type="dxa"/>
              <w:start w:w="120" w:type="dxa"/>
              <w:bottom w:w="80" w:type="dxa"/>
              <w:end w:w="120" w:type="dxa"/>
            </w:tcMar>
            <w:vAlign w:val="center"/>
          </w:tcPr>
          <w:p>
            <w:pPr>
              <w:spacing w:before="0" w:after="40" w:line="259" w:lineRule="auto"/>
            </w:pPr>
            <w:r>
              <w:rPr>
                <w:rFonts w:ascii="Calibri" w:hAnsi="Calibri"/>
                <w:b w:val="0"/>
                <w:color w:val="1B2733"/>
                <w:sz w:val="17"/>
              </w:rPr>
              <w:t>Can produce comprehensive, constitutionally protected settlements.</w:t>
            </w:r>
          </w:p>
        </w:tc>
        <w:tc>
          <w:tcPr>
            <w:tcW w:type="dxa" w:w="3210"/>
            <w:tcMar>
              <w:top w:w="80" w:type="dxa"/>
              <w:start w:w="120" w:type="dxa"/>
              <w:bottom w:w="80" w:type="dxa"/>
              <w:end w:w="120" w:type="dxa"/>
            </w:tcMar>
            <w:vAlign w:val="center"/>
          </w:tcPr>
          <w:p>
            <w:pPr>
              <w:spacing w:before="0" w:after="40" w:line="259" w:lineRule="auto"/>
            </w:pPr>
            <w:r>
              <w:rPr>
                <w:rFonts w:ascii="Calibri" w:hAnsi="Calibri"/>
                <w:b w:val="0"/>
                <w:color w:val="1B2733"/>
                <w:sz w:val="17"/>
              </w:rPr>
              <w:t>Lengthy negotiations; some Nations reject surrender or extinguishment models.</w:t>
            </w:r>
          </w:p>
        </w:tc>
      </w:tr>
      <w:tr>
        <w:tc>
          <w:tcPr>
            <w:tcW w:type="dxa" w:w="2200"/>
            <w:tcMar>
              <w:top w:w="80" w:type="dxa"/>
              <w:start w:w="120" w:type="dxa"/>
              <w:bottom w:w="80" w:type="dxa"/>
              <w:end w:w="120" w:type="dxa"/>
            </w:tcMar>
            <w:vAlign w:val="center"/>
          </w:tcPr>
          <w:p>
            <w:pPr>
              <w:spacing w:before="0" w:after="40" w:line="259" w:lineRule="auto"/>
            </w:pPr>
            <w:r>
              <w:rPr>
                <w:rFonts w:ascii="Calibri" w:hAnsi="Calibri"/>
                <w:b w:val="0"/>
                <w:color w:val="1B2733"/>
                <w:sz w:val="17"/>
              </w:rPr>
              <w:t>Regional or sectoral agreements</w:t>
            </w:r>
          </w:p>
        </w:tc>
        <w:tc>
          <w:tcPr>
            <w:tcW w:type="dxa" w:w="1250"/>
            <w:tcMar>
              <w:top w:w="80" w:type="dxa"/>
              <w:start w:w="120" w:type="dxa"/>
              <w:bottom w:w="80" w:type="dxa"/>
              <w:end w:w="120" w:type="dxa"/>
            </w:tcMar>
            <w:vAlign w:val="center"/>
          </w:tcPr>
          <w:p>
            <w:pPr>
              <w:spacing w:before="0" w:after="40" w:line="259" w:lineRule="auto"/>
            </w:pPr>
            <w:r>
              <w:rPr>
                <w:rFonts w:ascii="Calibri" w:hAnsi="Calibri"/>
                <w:b w:val="0"/>
                <w:color w:val="1B2733"/>
                <w:sz w:val="17"/>
              </w:rPr>
              <w:t>High</w:t>
            </w:r>
          </w:p>
        </w:tc>
        <w:tc>
          <w:tcPr>
            <w:tcW w:type="dxa" w:w="2700"/>
            <w:tcMar>
              <w:top w:w="80" w:type="dxa"/>
              <w:start w:w="120" w:type="dxa"/>
              <w:bottom w:w="80" w:type="dxa"/>
              <w:end w:w="120" w:type="dxa"/>
            </w:tcMar>
            <w:vAlign w:val="center"/>
          </w:tcPr>
          <w:p>
            <w:pPr>
              <w:spacing w:before="0" w:after="40" w:line="259" w:lineRule="auto"/>
            </w:pPr>
            <w:r>
              <w:rPr>
                <w:rFonts w:ascii="Calibri" w:hAnsi="Calibri"/>
                <w:b w:val="0"/>
                <w:color w:val="1B2733"/>
                <w:sz w:val="17"/>
              </w:rPr>
              <w:t>Can address forestry, mining, energy or cumulative effects without waiting for a complete treaty.</w:t>
            </w:r>
          </w:p>
        </w:tc>
        <w:tc>
          <w:tcPr>
            <w:tcW w:type="dxa" w:w="3210"/>
            <w:tcMar>
              <w:top w:w="80" w:type="dxa"/>
              <w:start w:w="120" w:type="dxa"/>
              <w:bottom w:w="80" w:type="dxa"/>
              <w:end w:w="120" w:type="dxa"/>
            </w:tcMar>
            <w:vAlign w:val="center"/>
          </w:tcPr>
          <w:p>
            <w:pPr>
              <w:spacing w:before="0" w:after="40" w:line="259" w:lineRule="auto"/>
            </w:pPr>
            <w:r>
              <w:rPr>
                <w:rFonts w:ascii="Calibri" w:hAnsi="Calibri"/>
                <w:b w:val="0"/>
                <w:color w:val="1B2733"/>
                <w:sz w:val="17"/>
              </w:rPr>
              <w:t>May create another patchwork unless common standards apply.</w:t>
            </w:r>
          </w:p>
        </w:tc>
      </w:tr>
      <w:tr>
        <w:tc>
          <w:tcPr>
            <w:tcW w:type="dxa" w:w="2200"/>
            <w:tcMar>
              <w:top w:w="80" w:type="dxa"/>
              <w:start w:w="120" w:type="dxa"/>
              <w:bottom w:w="80" w:type="dxa"/>
              <w:end w:w="120" w:type="dxa"/>
            </w:tcMar>
            <w:vAlign w:val="center"/>
          </w:tcPr>
          <w:p>
            <w:pPr>
              <w:spacing w:before="0" w:after="40" w:line="259" w:lineRule="auto"/>
            </w:pPr>
            <w:r>
              <w:rPr>
                <w:rFonts w:ascii="Calibri" w:hAnsi="Calibri"/>
                <w:b w:val="0"/>
                <w:color w:val="1B2733"/>
                <w:sz w:val="17"/>
              </w:rPr>
              <w:t>Expanded federal claims institution</w:t>
            </w:r>
          </w:p>
        </w:tc>
        <w:tc>
          <w:tcPr>
            <w:tcW w:type="dxa" w:w="1250"/>
            <w:tcMar>
              <w:top w:w="80" w:type="dxa"/>
              <w:start w:w="120" w:type="dxa"/>
              <w:bottom w:w="80" w:type="dxa"/>
              <w:end w:w="120" w:type="dxa"/>
            </w:tcMar>
            <w:vAlign w:val="center"/>
          </w:tcPr>
          <w:p>
            <w:pPr>
              <w:spacing w:before="0" w:after="40" w:line="259" w:lineRule="auto"/>
            </w:pPr>
            <w:r>
              <w:rPr>
                <w:rFonts w:ascii="Calibri" w:hAnsi="Calibri"/>
                <w:b w:val="0"/>
                <w:color w:val="1B2733"/>
                <w:sz w:val="17"/>
              </w:rPr>
              <w:t>Low–moderate</w:t>
            </w:r>
          </w:p>
        </w:tc>
        <w:tc>
          <w:tcPr>
            <w:tcW w:type="dxa" w:w="2700"/>
            <w:tcMar>
              <w:top w:w="80" w:type="dxa"/>
              <w:start w:w="120" w:type="dxa"/>
              <w:bottom w:w="80" w:type="dxa"/>
              <w:end w:w="120" w:type="dxa"/>
            </w:tcMar>
            <w:vAlign w:val="center"/>
          </w:tcPr>
          <w:p>
            <w:pPr>
              <w:spacing w:before="0" w:after="40" w:line="259" w:lineRule="auto"/>
            </w:pPr>
            <w:r>
              <w:rPr>
                <w:rFonts w:ascii="Calibri" w:hAnsi="Calibri"/>
                <w:b w:val="0"/>
                <w:color w:val="1B2733"/>
                <w:sz w:val="17"/>
              </w:rPr>
              <w:t>Could improve national consistency and share fiscal responsibility.</w:t>
            </w:r>
          </w:p>
        </w:tc>
        <w:tc>
          <w:tcPr>
            <w:tcW w:type="dxa" w:w="3210"/>
            <w:tcMar>
              <w:top w:w="80" w:type="dxa"/>
              <w:start w:w="120" w:type="dxa"/>
              <w:bottom w:w="80" w:type="dxa"/>
              <w:end w:w="120" w:type="dxa"/>
            </w:tcMar>
            <w:vAlign w:val="center"/>
          </w:tcPr>
          <w:p>
            <w:pPr>
              <w:spacing w:before="0" w:after="40" w:line="259" w:lineRule="auto"/>
            </w:pPr>
            <w:r>
              <w:rPr>
                <w:rFonts w:ascii="Calibri" w:hAnsi="Calibri"/>
                <w:b w:val="0"/>
                <w:color w:val="1B2733"/>
                <w:sz w:val="17"/>
              </w:rPr>
              <w:t>Requires federal–provincial–Indigenous agreement and major legislation.</w:t>
            </w:r>
          </w:p>
        </w:tc>
      </w:tr>
    </w:tbl>
    <w:p>
      <w:pPr>
        <w:pStyle w:val="Heading1"/>
        <w:keepNext/>
      </w:pPr>
      <w:r>
        <w:rPr>
          <w:rFonts w:ascii="Calibri" w:hAnsi="Calibri"/>
          <w:color w:val="1B2733"/>
          <w:sz w:val="22"/>
        </w:rPr>
        <w:t>4. Recommended hybrid resolution model</w:t>
      </w:r>
    </w:p>
    <w:p>
      <w:r>
        <w:rPr>
          <w:rFonts w:ascii="Calibri" w:hAnsi="Calibri"/>
          <w:i w:val="0"/>
          <w:color w:val="1B2733"/>
          <w:sz w:val="22"/>
        </w:rPr>
        <w:t>The most workable approach would combine three institutional functions rather than attempting to make one tribunal perform every task.</w:t>
      </w:r>
    </w:p>
    <w:p>
      <w:pPr>
        <w:numPr>
          <w:ilvl w:val="0"/>
          <w:numId w:val="11"/>
        </w:numPr>
        <w:spacing w:before="0" w:after="160" w:line="280" w:lineRule="auto"/>
      </w:pPr>
      <w:r>
        <w:rPr>
          <w:rFonts w:ascii="Calibri" w:hAnsi="Calibri"/>
          <w:b/>
          <w:color w:val="1B2733"/>
          <w:sz w:val="22"/>
        </w:rPr>
        <w:t>Land-title commission:</w:t>
      </w:r>
      <w:r>
        <w:rPr>
          <w:rFonts w:ascii="Calibri" w:hAnsi="Calibri"/>
          <w:color w:val="1B2733"/>
          <w:sz w:val="22"/>
        </w:rPr>
        <w:t xml:space="preserve"> Maintain authoritative claim maps, identify overlapping interests, issue formal notice, support common evidence standards and create an accessible public record.</w:t>
      </w:r>
    </w:p>
    <w:p>
      <w:pPr>
        <w:numPr>
          <w:ilvl w:val="0"/>
          <w:numId w:val="11"/>
        </w:numPr>
        <w:spacing w:before="0" w:after="160" w:line="280" w:lineRule="auto"/>
      </w:pPr>
      <w:r>
        <w:rPr>
          <w:rFonts w:ascii="Calibri" w:hAnsi="Calibri"/>
          <w:b/>
          <w:color w:val="1B2733"/>
          <w:sz w:val="22"/>
        </w:rPr>
        <w:t>Negotiation and mediation branch:</w:t>
      </w:r>
      <w:r>
        <w:rPr>
          <w:rFonts w:ascii="Calibri" w:hAnsi="Calibri"/>
          <w:color w:val="1B2733"/>
          <w:sz w:val="22"/>
        </w:rPr>
        <w:t xml:space="preserve"> Facilitate regional settlements, land transfers, compensation, revenue sharing, restoration, co-management and project-specific arrangements.</w:t>
      </w:r>
    </w:p>
    <w:p>
      <w:pPr>
        <w:numPr>
          <w:ilvl w:val="0"/>
          <w:numId w:val="11"/>
        </w:numPr>
        <w:spacing w:before="0" w:after="160" w:line="280" w:lineRule="auto"/>
      </w:pPr>
      <w:r>
        <w:rPr>
          <w:rFonts w:ascii="Calibri" w:hAnsi="Calibri"/>
          <w:b/>
          <w:color w:val="1B2733"/>
          <w:sz w:val="22"/>
        </w:rPr>
        <w:t>Adjudicative panel:</w:t>
      </w:r>
      <w:r>
        <w:rPr>
          <w:rFonts w:ascii="Calibri" w:hAnsi="Calibri"/>
          <w:color w:val="1B2733"/>
          <w:sz w:val="22"/>
        </w:rPr>
        <w:t xml:space="preserve"> Make binding determinations where the necessary parties consent or valid federal–provincial legislation confers jurisdiction, with access to judicial review.</w:t>
      </w:r>
    </w:p>
    <w:p>
      <w:pPr>
        <w:pStyle w:val="Heading2"/>
        <w:keepNext/>
      </w:pPr>
      <w:r>
        <w:rPr>
          <w:rFonts w:ascii="Calibri" w:hAnsi="Calibri"/>
          <w:color w:val="1B2733"/>
          <w:sz w:val="22"/>
        </w:rPr>
        <w:t>Immediate supporting measures</w:t>
      </w:r>
    </w:p>
    <w:p>
      <w:pPr>
        <w:numPr>
          <w:ilvl w:val="0"/>
          <w:numId w:val="10"/>
        </w:numPr>
        <w:spacing w:before="0" w:after="160" w:line="280" w:lineRule="auto"/>
      </w:pPr>
      <w:r>
        <w:rPr>
          <w:rFonts w:ascii="Calibri" w:hAnsi="Calibri"/>
          <w:color w:val="1B2733"/>
          <w:sz w:val="22"/>
        </w:rPr>
        <w:t>Create a public registry of title claims, agreements, affected territories and decision-making arrangements.</w:t>
      </w:r>
    </w:p>
    <w:p>
      <w:pPr>
        <w:numPr>
          <w:ilvl w:val="0"/>
          <w:numId w:val="10"/>
        </w:numPr>
        <w:spacing w:before="0" w:after="160" w:line="280" w:lineRule="auto"/>
      </w:pPr>
      <w:r>
        <w:rPr>
          <w:rFonts w:ascii="Calibri" w:hAnsi="Calibri"/>
          <w:color w:val="1B2733"/>
          <w:sz w:val="22"/>
        </w:rPr>
        <w:t>Require early notice to municipalities, registered owners, tenure holders and First Nations with overlapping interests.</w:t>
      </w:r>
    </w:p>
    <w:p>
      <w:pPr>
        <w:numPr>
          <w:ilvl w:val="0"/>
          <w:numId w:val="10"/>
        </w:numPr>
        <w:spacing w:before="0" w:after="160" w:line="280" w:lineRule="auto"/>
      </w:pPr>
      <w:r>
        <w:rPr>
          <w:rFonts w:ascii="Calibri" w:hAnsi="Calibri"/>
          <w:color w:val="1B2733"/>
          <w:sz w:val="22"/>
        </w:rPr>
        <w:t>Publish clear rules distinguishing legitimately confidential negotiations from information that materially affects public or private rights.</w:t>
      </w:r>
    </w:p>
    <w:p>
      <w:pPr>
        <w:numPr>
          <w:ilvl w:val="0"/>
          <w:numId w:val="10"/>
        </w:numPr>
        <w:spacing w:before="0" w:after="160" w:line="280" w:lineRule="auto"/>
      </w:pPr>
      <w:r>
        <w:rPr>
          <w:rFonts w:ascii="Calibri" w:hAnsi="Calibri"/>
          <w:color w:val="1B2733"/>
          <w:sz w:val="22"/>
        </w:rPr>
        <w:t>Fund First Nations, municipalities and affected communities so they can participate meaningfully.</w:t>
      </w:r>
    </w:p>
    <w:p>
      <w:pPr>
        <w:numPr>
          <w:ilvl w:val="0"/>
          <w:numId w:val="10"/>
        </w:numPr>
        <w:spacing w:before="0" w:after="160" w:line="280" w:lineRule="auto"/>
      </w:pPr>
      <w:r>
        <w:rPr>
          <w:rFonts w:ascii="Calibri" w:hAnsi="Calibri"/>
          <w:color w:val="1B2733"/>
          <w:sz w:val="22"/>
        </w:rPr>
        <w:t>Provide interim protection for bona fide private owners while jurisdiction and compensation are determined.</w:t>
      </w:r>
    </w:p>
    <w:p>
      <w:pPr>
        <w:numPr>
          <w:ilvl w:val="0"/>
          <w:numId w:val="10"/>
        </w:numPr>
        <w:spacing w:before="0" w:after="160" w:line="280" w:lineRule="auto"/>
      </w:pPr>
      <w:r>
        <w:rPr>
          <w:rFonts w:ascii="Calibri" w:hAnsi="Calibri"/>
          <w:color w:val="1B2733"/>
          <w:sz w:val="22"/>
        </w:rPr>
        <w:t>Adopt regional cumulative-effects thresholds instead of relying entirely on project-by-project consultation.</w:t>
      </w:r>
    </w:p>
    <w:p>
      <w:pPr>
        <w:numPr>
          <w:ilvl w:val="0"/>
          <w:numId w:val="10"/>
        </w:numPr>
        <w:spacing w:before="0" w:after="160" w:line="280" w:lineRule="auto"/>
      </w:pPr>
      <w:r>
        <w:rPr>
          <w:rFonts w:ascii="Calibri" w:hAnsi="Calibri"/>
          <w:color w:val="1B2733"/>
          <w:sz w:val="22"/>
        </w:rPr>
        <w:t>Provide expedited pathways for projects supported by properly authorized Indigenous ownership or participation agreements.</w:t>
      </w:r>
    </w:p>
    <w:p>
      <w:pPr>
        <w:pStyle w:val="Heading1"/>
        <w:keepNext/>
      </w:pPr>
      <w:r>
        <w:rPr>
          <w:rFonts w:ascii="Calibri" w:hAnsi="Calibri"/>
          <w:color w:val="1B2733"/>
          <w:sz w:val="22"/>
        </w:rPr>
        <w:t>5. Major barriers</w:t>
      </w:r>
    </w:p>
    <w:tbl>
      <w:tblPr>
        <w:tblW w:type="dxa" w:w="9360"/>
        <w:tblLayout w:type="fixed"/>
        <w:tblLook w:firstColumn="1" w:firstRow="1" w:lastColumn="0" w:lastRow="0" w:noHBand="0" w:noVBand="1" w:val="04A0"/>
        <w:tblInd w:w="120" w:type="dxa"/>
      </w:tblPr>
      <w:tblGrid>
        <w:gridCol w:w="2350"/>
        <w:gridCol w:w="7010"/>
      </w:tblGrid>
      <w:tr>
        <w:trPr>
          <w:tblHeader w:val="true"/>
        </w:trPr>
        <w:tc>
          <w:tcPr>
            <w:tcW w:type="dxa" w:w="2350"/>
            <w:tcMar>
              <w:top w:w="80" w:type="dxa"/>
              <w:start w:w="120" w:type="dxa"/>
              <w:bottom w:w="80" w:type="dxa"/>
              <w:end w:w="120" w:type="dxa"/>
            </w:tcMar>
            <w:vAlign w:val="center"/>
            <w:shd w:fill="E8EEF5"/>
          </w:tcPr>
          <w:p>
            <w:pPr>
              <w:spacing w:before="0" w:after="40" w:line="259" w:lineRule="auto"/>
            </w:pPr>
            <w:r>
              <w:rPr>
                <w:rFonts w:ascii="Calibri" w:hAnsi="Calibri"/>
                <w:b/>
                <w:color w:val="1B2733"/>
                <w:sz w:val="18"/>
              </w:rPr>
              <w:t>Barrier</w:t>
            </w:r>
          </w:p>
        </w:tc>
        <w:tc>
          <w:tcPr>
            <w:tcW w:type="dxa" w:w="7010"/>
            <w:tcMar>
              <w:top w:w="80" w:type="dxa"/>
              <w:start w:w="120" w:type="dxa"/>
              <w:bottom w:w="80" w:type="dxa"/>
              <w:end w:w="120" w:type="dxa"/>
            </w:tcMar>
            <w:vAlign w:val="center"/>
            <w:shd w:fill="E8EEF5"/>
          </w:tcPr>
          <w:p>
            <w:pPr>
              <w:spacing w:before="0" w:after="40" w:line="259" w:lineRule="auto"/>
            </w:pPr>
            <w:r>
              <w:rPr>
                <w:rFonts w:ascii="Calibri" w:hAnsi="Calibri"/>
                <w:b/>
                <w:color w:val="1B2733"/>
                <w:sz w:val="18"/>
              </w:rPr>
              <w:t>Why it matters</w:t>
            </w:r>
          </w:p>
        </w:tc>
      </w:tr>
      <w:tr>
        <w:tc>
          <w:tcPr>
            <w:tcW w:type="dxa" w:w="2350"/>
            <w:tcMar>
              <w:top w:w="80" w:type="dxa"/>
              <w:start w:w="120" w:type="dxa"/>
              <w:bottom w:w="80" w:type="dxa"/>
              <w:end w:w="120" w:type="dxa"/>
            </w:tcMar>
            <w:vAlign w:val="center"/>
          </w:tcPr>
          <w:p>
            <w:pPr>
              <w:spacing w:before="0" w:after="40" w:line="259" w:lineRule="auto"/>
            </w:pPr>
            <w:r>
              <w:rPr>
                <w:rFonts w:ascii="Calibri" w:hAnsi="Calibri"/>
                <w:b w:val="0"/>
                <w:color w:val="1B2733"/>
                <w:sz w:val="18"/>
              </w:rPr>
              <w:t>Constitutional jurisdiction</w:t>
            </w:r>
          </w:p>
        </w:tc>
        <w:tc>
          <w:tcPr>
            <w:tcW w:type="dxa" w:w="7010"/>
            <w:tcMar>
              <w:top w:w="80" w:type="dxa"/>
              <w:start w:w="120" w:type="dxa"/>
              <w:bottom w:w="80" w:type="dxa"/>
              <w:end w:w="120" w:type="dxa"/>
            </w:tcMar>
            <w:vAlign w:val="center"/>
          </w:tcPr>
          <w:p>
            <w:pPr>
              <w:spacing w:before="0" w:after="40" w:line="259" w:lineRule="auto"/>
            </w:pPr>
            <w:r>
              <w:rPr>
                <w:rFonts w:ascii="Calibri" w:hAnsi="Calibri"/>
                <w:b w:val="0"/>
                <w:color w:val="1B2733"/>
                <w:sz w:val="18"/>
              </w:rPr>
              <w:t>Canada has jurisdiction concerning ‘Indians, and lands reserved for the Indians,’ while provinces control most Crown land, property, civil rights and natural resources.</w:t>
            </w:r>
          </w:p>
        </w:tc>
      </w:tr>
      <w:tr>
        <w:tc>
          <w:tcPr>
            <w:tcW w:type="dxa" w:w="2350"/>
            <w:tcMar>
              <w:top w:w="80" w:type="dxa"/>
              <w:start w:w="120" w:type="dxa"/>
              <w:bottom w:w="80" w:type="dxa"/>
              <w:end w:w="120" w:type="dxa"/>
            </w:tcMar>
            <w:vAlign w:val="center"/>
          </w:tcPr>
          <w:p>
            <w:pPr>
              <w:spacing w:before="0" w:after="40" w:line="259" w:lineRule="auto"/>
            </w:pPr>
            <w:r>
              <w:rPr>
                <w:rFonts w:ascii="Calibri" w:hAnsi="Calibri"/>
                <w:b w:val="0"/>
                <w:color w:val="1B2733"/>
                <w:sz w:val="18"/>
              </w:rPr>
              <w:t>Section 35 protection</w:t>
            </w:r>
          </w:p>
        </w:tc>
        <w:tc>
          <w:tcPr>
            <w:tcW w:type="dxa" w:w="7010"/>
            <w:tcMar>
              <w:top w:w="80" w:type="dxa"/>
              <w:start w:w="120" w:type="dxa"/>
              <w:bottom w:w="80" w:type="dxa"/>
              <w:end w:w="120" w:type="dxa"/>
            </w:tcMar>
            <w:vAlign w:val="center"/>
          </w:tcPr>
          <w:p>
            <w:pPr>
              <w:spacing w:before="0" w:after="40" w:line="259" w:lineRule="auto"/>
            </w:pPr>
            <w:r>
              <w:rPr>
                <w:rFonts w:ascii="Calibri" w:hAnsi="Calibri"/>
                <w:b w:val="0"/>
                <w:color w:val="1B2733"/>
                <w:sz w:val="18"/>
              </w:rPr>
              <w:t>A province cannot unilaterally extinguish or legislate around constitutionally protected Aboriginal and treaty rights.</w:t>
            </w:r>
          </w:p>
        </w:tc>
      </w:tr>
      <w:tr>
        <w:tc>
          <w:tcPr>
            <w:tcW w:type="dxa" w:w="2350"/>
            <w:tcMar>
              <w:top w:w="80" w:type="dxa"/>
              <w:start w:w="120" w:type="dxa"/>
              <w:bottom w:w="80" w:type="dxa"/>
              <w:end w:w="120" w:type="dxa"/>
            </w:tcMar>
            <w:vAlign w:val="center"/>
          </w:tcPr>
          <w:p>
            <w:pPr>
              <w:spacing w:before="0" w:after="40" w:line="259" w:lineRule="auto"/>
            </w:pPr>
            <w:r>
              <w:rPr>
                <w:rFonts w:ascii="Calibri" w:hAnsi="Calibri"/>
                <w:b w:val="0"/>
                <w:color w:val="1B2733"/>
                <w:sz w:val="18"/>
              </w:rPr>
              <w:t>Indigenous legitimacy</w:t>
            </w:r>
          </w:p>
        </w:tc>
        <w:tc>
          <w:tcPr>
            <w:tcW w:type="dxa" w:w="7010"/>
            <w:tcMar>
              <w:top w:w="80" w:type="dxa"/>
              <w:start w:w="120" w:type="dxa"/>
              <w:bottom w:w="80" w:type="dxa"/>
              <w:end w:w="120" w:type="dxa"/>
            </w:tcMar>
            <w:vAlign w:val="center"/>
          </w:tcPr>
          <w:p>
            <w:pPr>
              <w:spacing w:before="0" w:after="40" w:line="259" w:lineRule="auto"/>
            </w:pPr>
            <w:r>
              <w:rPr>
                <w:rFonts w:ascii="Calibri" w:hAnsi="Calibri"/>
                <w:b w:val="0"/>
                <w:color w:val="1B2733"/>
                <w:sz w:val="18"/>
              </w:rPr>
              <w:t>A tribunal imposed without First Nations co-design could be viewed as another Crown-controlled claims process.</w:t>
            </w:r>
          </w:p>
        </w:tc>
      </w:tr>
      <w:tr>
        <w:tc>
          <w:tcPr>
            <w:tcW w:type="dxa" w:w="2350"/>
            <w:tcMar>
              <w:top w:w="80" w:type="dxa"/>
              <w:start w:w="120" w:type="dxa"/>
              <w:bottom w:w="80" w:type="dxa"/>
              <w:end w:w="120" w:type="dxa"/>
            </w:tcMar>
            <w:vAlign w:val="center"/>
          </w:tcPr>
          <w:p>
            <w:pPr>
              <w:spacing w:before="0" w:after="40" w:line="259" w:lineRule="auto"/>
            </w:pPr>
            <w:r>
              <w:rPr>
                <w:rFonts w:ascii="Calibri" w:hAnsi="Calibri"/>
                <w:b w:val="0"/>
                <w:color w:val="1B2733"/>
                <w:sz w:val="18"/>
              </w:rPr>
              <w:t>Overlapping claims</w:t>
            </w:r>
          </w:p>
        </w:tc>
        <w:tc>
          <w:tcPr>
            <w:tcW w:type="dxa" w:w="7010"/>
            <w:tcMar>
              <w:top w:w="80" w:type="dxa"/>
              <w:start w:w="120" w:type="dxa"/>
              <w:bottom w:w="80" w:type="dxa"/>
              <w:end w:w="120" w:type="dxa"/>
            </w:tcMar>
            <w:vAlign w:val="center"/>
          </w:tcPr>
          <w:p>
            <w:pPr>
              <w:spacing w:before="0" w:after="40" w:line="259" w:lineRule="auto"/>
            </w:pPr>
            <w:r>
              <w:rPr>
                <w:rFonts w:ascii="Calibri" w:hAnsi="Calibri"/>
                <w:b w:val="0"/>
                <w:color w:val="1B2733"/>
                <w:sz w:val="18"/>
              </w:rPr>
              <w:t>Several Nations may assert rights over the same area, making bilateral agreements insufficient.</w:t>
            </w:r>
          </w:p>
        </w:tc>
      </w:tr>
      <w:tr>
        <w:tc>
          <w:tcPr>
            <w:tcW w:type="dxa" w:w="2350"/>
            <w:tcMar>
              <w:top w:w="80" w:type="dxa"/>
              <w:start w:w="120" w:type="dxa"/>
              <w:bottom w:w="80" w:type="dxa"/>
              <w:end w:w="120" w:type="dxa"/>
            </w:tcMar>
            <w:vAlign w:val="center"/>
          </w:tcPr>
          <w:p>
            <w:pPr>
              <w:spacing w:before="0" w:after="40" w:line="259" w:lineRule="auto"/>
            </w:pPr>
            <w:r>
              <w:rPr>
                <w:rFonts w:ascii="Calibri" w:hAnsi="Calibri"/>
                <w:b w:val="0"/>
                <w:color w:val="1B2733"/>
                <w:sz w:val="18"/>
              </w:rPr>
              <w:t>Private-property remedies</w:t>
            </w:r>
          </w:p>
        </w:tc>
        <w:tc>
          <w:tcPr>
            <w:tcW w:type="dxa" w:w="7010"/>
            <w:tcMar>
              <w:top w:w="80" w:type="dxa"/>
              <w:start w:w="120" w:type="dxa"/>
              <w:bottom w:w="80" w:type="dxa"/>
              <w:end w:w="120" w:type="dxa"/>
            </w:tcMar>
            <w:vAlign w:val="center"/>
          </w:tcPr>
          <w:p>
            <w:pPr>
              <w:spacing w:before="0" w:after="40" w:line="259" w:lineRule="auto"/>
            </w:pPr>
            <w:r>
              <w:rPr>
                <w:rFonts w:ascii="Calibri" w:hAnsi="Calibri"/>
                <w:b w:val="0"/>
                <w:color w:val="1B2733"/>
                <w:sz w:val="18"/>
              </w:rPr>
              <w:t>Governments must choose among compensation, land exchange, coexistence, jurisdictional agreements and other remedies.</w:t>
            </w:r>
          </w:p>
        </w:tc>
      </w:tr>
      <w:tr>
        <w:tc>
          <w:tcPr>
            <w:tcW w:type="dxa" w:w="2350"/>
            <w:tcMar>
              <w:top w:w="80" w:type="dxa"/>
              <w:start w:w="120" w:type="dxa"/>
              <w:bottom w:w="80" w:type="dxa"/>
              <w:end w:w="120" w:type="dxa"/>
            </w:tcMar>
            <w:vAlign w:val="center"/>
          </w:tcPr>
          <w:p>
            <w:pPr>
              <w:spacing w:before="0" w:after="40" w:line="259" w:lineRule="auto"/>
            </w:pPr>
            <w:r>
              <w:rPr>
                <w:rFonts w:ascii="Calibri" w:hAnsi="Calibri"/>
                <w:b w:val="0"/>
                <w:color w:val="1B2733"/>
                <w:sz w:val="18"/>
              </w:rPr>
              <w:t>Fiscal exposure</w:t>
            </w:r>
          </w:p>
        </w:tc>
        <w:tc>
          <w:tcPr>
            <w:tcW w:type="dxa" w:w="7010"/>
            <w:tcMar>
              <w:top w:w="80" w:type="dxa"/>
              <w:start w:w="120" w:type="dxa"/>
              <w:bottom w:w="80" w:type="dxa"/>
              <w:end w:w="120" w:type="dxa"/>
            </w:tcMar>
            <w:vAlign w:val="center"/>
          </w:tcPr>
          <w:p>
            <w:pPr>
              <w:spacing w:before="0" w:after="40" w:line="259" w:lineRule="auto"/>
            </w:pPr>
            <w:r>
              <w:rPr>
                <w:rFonts w:ascii="Calibri" w:hAnsi="Calibri"/>
                <w:b w:val="0"/>
                <w:color w:val="1B2733"/>
                <w:sz w:val="18"/>
              </w:rPr>
              <w:t>Settlements, compensation, restoration, revenue sharing and administration require substantial long-term funding.</w:t>
            </w:r>
          </w:p>
        </w:tc>
      </w:tr>
      <w:tr>
        <w:tc>
          <w:tcPr>
            <w:tcW w:type="dxa" w:w="2350"/>
            <w:tcMar>
              <w:top w:w="80" w:type="dxa"/>
              <w:start w:w="120" w:type="dxa"/>
              <w:bottom w:w="80" w:type="dxa"/>
              <w:end w:w="120" w:type="dxa"/>
            </w:tcMar>
            <w:vAlign w:val="center"/>
          </w:tcPr>
          <w:p>
            <w:pPr>
              <w:spacing w:before="0" w:after="40" w:line="259" w:lineRule="auto"/>
            </w:pPr>
            <w:r>
              <w:rPr>
                <w:rFonts w:ascii="Calibri" w:hAnsi="Calibri"/>
                <w:b w:val="0"/>
                <w:color w:val="1B2733"/>
                <w:sz w:val="18"/>
              </w:rPr>
              <w:t>Evidence and capacity</w:t>
            </w:r>
          </w:p>
        </w:tc>
        <w:tc>
          <w:tcPr>
            <w:tcW w:type="dxa" w:w="7010"/>
            <w:tcMar>
              <w:top w:w="80" w:type="dxa"/>
              <w:start w:w="120" w:type="dxa"/>
              <w:bottom w:w="80" w:type="dxa"/>
              <w:end w:w="120" w:type="dxa"/>
            </w:tcMar>
            <w:vAlign w:val="center"/>
          </w:tcPr>
          <w:p>
            <w:pPr>
              <w:spacing w:before="0" w:after="40" w:line="259" w:lineRule="auto"/>
            </w:pPr>
            <w:r>
              <w:rPr>
                <w:rFonts w:ascii="Calibri" w:hAnsi="Calibri"/>
                <w:b w:val="0"/>
                <w:color w:val="1B2733"/>
                <w:sz w:val="18"/>
              </w:rPr>
              <w:t>Historical, archaeological, oral-history and land-use evidence is costly; many parties have limited technical capacity.</w:t>
            </w:r>
          </w:p>
        </w:tc>
      </w:tr>
      <w:tr>
        <w:tc>
          <w:tcPr>
            <w:tcW w:type="dxa" w:w="2350"/>
            <w:tcMar>
              <w:top w:w="80" w:type="dxa"/>
              <w:start w:w="120" w:type="dxa"/>
              <w:bottom w:w="80" w:type="dxa"/>
              <w:end w:w="120" w:type="dxa"/>
            </w:tcMar>
            <w:vAlign w:val="center"/>
          </w:tcPr>
          <w:p>
            <w:pPr>
              <w:spacing w:before="0" w:after="40" w:line="259" w:lineRule="auto"/>
            </w:pPr>
            <w:r>
              <w:rPr>
                <w:rFonts w:ascii="Calibri" w:hAnsi="Calibri"/>
                <w:b w:val="0"/>
                <w:color w:val="1B2733"/>
                <w:sz w:val="18"/>
              </w:rPr>
              <w:t>Political risk and trust</w:t>
            </w:r>
          </w:p>
        </w:tc>
        <w:tc>
          <w:tcPr>
            <w:tcW w:type="dxa" w:w="7010"/>
            <w:tcMar>
              <w:top w:w="80" w:type="dxa"/>
              <w:start w:w="120" w:type="dxa"/>
              <w:bottom w:w="80" w:type="dxa"/>
              <w:end w:w="120" w:type="dxa"/>
            </w:tcMar>
            <w:vAlign w:val="center"/>
          </w:tcPr>
          <w:p>
            <w:pPr>
              <w:spacing w:before="0" w:after="40" w:line="259" w:lineRule="auto"/>
            </w:pPr>
            <w:r>
              <w:rPr>
                <w:rFonts w:ascii="Calibri" w:hAnsi="Calibri"/>
                <w:b w:val="0"/>
                <w:color w:val="1B2733"/>
                <w:sz w:val="18"/>
              </w:rPr>
              <w:t>Governments value negotiating flexibility, while secrecy undermines legitimacy and public confidence.</w:t>
            </w:r>
          </w:p>
        </w:tc>
      </w:tr>
      <w:tr>
        <w:tc>
          <w:tcPr>
            <w:tcW w:type="dxa" w:w="2350"/>
            <w:tcMar>
              <w:top w:w="80" w:type="dxa"/>
              <w:start w:w="120" w:type="dxa"/>
              <w:bottom w:w="80" w:type="dxa"/>
              <w:end w:w="120" w:type="dxa"/>
            </w:tcMar>
            <w:vAlign w:val="center"/>
          </w:tcPr>
          <w:p>
            <w:pPr>
              <w:spacing w:before="0" w:after="40" w:line="259" w:lineRule="auto"/>
            </w:pPr>
            <w:r>
              <w:rPr>
                <w:rFonts w:ascii="Calibri" w:hAnsi="Calibri"/>
                <w:b w:val="0"/>
                <w:color w:val="1B2733"/>
                <w:sz w:val="18"/>
              </w:rPr>
              <w:t>Time</w:t>
            </w:r>
          </w:p>
        </w:tc>
        <w:tc>
          <w:tcPr>
            <w:tcW w:type="dxa" w:w="7010"/>
            <w:tcMar>
              <w:top w:w="80" w:type="dxa"/>
              <w:start w:w="120" w:type="dxa"/>
              <w:bottom w:w="80" w:type="dxa"/>
              <w:end w:w="120" w:type="dxa"/>
            </w:tcMar>
            <w:vAlign w:val="center"/>
          </w:tcPr>
          <w:p>
            <w:pPr>
              <w:spacing w:before="0" w:after="40" w:line="259" w:lineRule="auto"/>
            </w:pPr>
            <w:r>
              <w:rPr>
                <w:rFonts w:ascii="Calibri" w:hAnsi="Calibri"/>
                <w:b w:val="0"/>
                <w:color w:val="1B2733"/>
                <w:sz w:val="18"/>
              </w:rPr>
              <w:t>Comprehensive settlement is generational, but communities and industry need workable interim rules now.</w:t>
            </w:r>
          </w:p>
        </w:tc>
      </w:tr>
    </w:tbl>
    <w:p>
      <w:pPr>
        <w:pStyle w:val="Heading1"/>
        <w:keepNext/>
      </w:pPr>
      <w:r>
        <w:rPr>
          <w:rFonts w:ascii="Calibri" w:hAnsi="Calibri"/>
          <w:color w:val="1B2733"/>
          <w:sz w:val="22"/>
        </w:rPr>
        <w:t>6. Provincial and territorial implications</w:t>
      </w:r>
    </w:p>
    <w:p>
      <w:r>
        <w:rPr>
          <w:rFonts w:ascii="Calibri" w:hAnsi="Calibri"/>
          <w:i w:val="0"/>
          <w:color w:val="1B2733"/>
          <w:sz w:val="22"/>
        </w:rPr>
        <w:t>The potential effects are national, but they will not be uniform. Treaty history, existing agreements and provincial legislation materially change the risk profile.</w:t>
      </w:r>
    </w:p>
    <w:tbl>
      <w:tblPr>
        <w:tblW w:type="dxa" w:w="9360"/>
        <w:tblLayout w:type="fixed"/>
        <w:tblLook w:firstColumn="1" w:firstRow="1" w:lastColumn="0" w:lastRow="0" w:noHBand="0" w:noVBand="1" w:val="04A0"/>
        <w:tblInd w:w="120" w:type="dxa"/>
      </w:tblPr>
      <w:tblGrid>
        <w:gridCol w:w="2200"/>
        <w:gridCol w:w="7160"/>
      </w:tblGrid>
      <w:tr>
        <w:trPr>
          <w:tblHeader w:val="true"/>
        </w:trPr>
        <w:tc>
          <w:tcPr>
            <w:tcW w:type="dxa" w:w="2200"/>
            <w:tcMar>
              <w:top w:w="80" w:type="dxa"/>
              <w:start w:w="120" w:type="dxa"/>
              <w:bottom w:w="80" w:type="dxa"/>
              <w:end w:w="120" w:type="dxa"/>
            </w:tcMar>
            <w:vAlign w:val="center"/>
            <w:shd w:fill="E8EEF5"/>
          </w:tcPr>
          <w:p>
            <w:pPr>
              <w:spacing w:before="0" w:after="40" w:line="259" w:lineRule="auto"/>
            </w:pPr>
            <w:r>
              <w:rPr>
                <w:rFonts w:ascii="Calibri" w:hAnsi="Calibri"/>
                <w:b/>
                <w:color w:val="1B2733"/>
                <w:sz w:val="18"/>
              </w:rPr>
              <w:t>Jurisdiction</w:t>
            </w:r>
          </w:p>
        </w:tc>
        <w:tc>
          <w:tcPr>
            <w:tcW w:type="dxa" w:w="7160"/>
            <w:tcMar>
              <w:top w:w="80" w:type="dxa"/>
              <w:start w:w="120" w:type="dxa"/>
              <w:bottom w:w="80" w:type="dxa"/>
              <w:end w:w="120" w:type="dxa"/>
            </w:tcMar>
            <w:vAlign w:val="center"/>
            <w:shd w:fill="E8EEF5"/>
          </w:tcPr>
          <w:p>
            <w:pPr>
              <w:spacing w:before="0" w:after="40" w:line="259" w:lineRule="auto"/>
            </w:pPr>
            <w:r>
              <w:rPr>
                <w:rFonts w:ascii="Calibri" w:hAnsi="Calibri"/>
                <w:b/>
                <w:color w:val="1B2733"/>
                <w:sz w:val="18"/>
              </w:rPr>
              <w:t>Principal implications</w:t>
            </w:r>
          </w:p>
        </w:tc>
      </w:tr>
      <w:tr>
        <w:tc>
          <w:tcPr>
            <w:tcW w:type="dxa" w:w="2200"/>
            <w:tcMar>
              <w:top w:w="80" w:type="dxa"/>
              <w:start w:w="120" w:type="dxa"/>
              <w:bottom w:w="80" w:type="dxa"/>
              <w:end w:w="120" w:type="dxa"/>
            </w:tcMar>
            <w:vAlign w:val="center"/>
          </w:tcPr>
          <w:p>
            <w:pPr>
              <w:spacing w:before="0" w:after="40" w:line="259" w:lineRule="auto"/>
            </w:pPr>
            <w:r>
              <w:rPr>
                <w:rFonts w:ascii="Calibri" w:hAnsi="Calibri"/>
                <w:b w:val="0"/>
                <w:color w:val="1B2733"/>
                <w:sz w:val="18"/>
              </w:rPr>
              <w:t>British Columbia</w:t>
            </w:r>
          </w:p>
        </w:tc>
        <w:tc>
          <w:tcPr>
            <w:tcW w:type="dxa" w:w="7160"/>
            <w:tcMar>
              <w:top w:w="80" w:type="dxa"/>
              <w:start w:w="120" w:type="dxa"/>
              <w:bottom w:w="80" w:type="dxa"/>
              <w:end w:w="120" w:type="dxa"/>
            </w:tcMar>
            <w:vAlign w:val="center"/>
          </w:tcPr>
          <w:p>
            <w:pPr>
              <w:spacing w:before="0" w:after="40" w:line="259" w:lineRule="auto"/>
            </w:pPr>
            <w:r>
              <w:rPr>
                <w:rFonts w:ascii="Calibri" w:hAnsi="Calibri"/>
                <w:b w:val="0"/>
                <w:color w:val="1B2733"/>
                <w:sz w:val="18"/>
              </w:rPr>
              <w:t>Highest immediate exposure because of extensive non-treaty territory, DRIPA, active title litigation, cumulative-effects decisions and uncertainty concerning Crown and fee-simple interests.</w:t>
            </w:r>
          </w:p>
        </w:tc>
      </w:tr>
      <w:tr>
        <w:tc>
          <w:tcPr>
            <w:tcW w:type="dxa" w:w="2200"/>
            <w:tcMar>
              <w:top w:w="80" w:type="dxa"/>
              <w:start w:w="120" w:type="dxa"/>
              <w:bottom w:w="80" w:type="dxa"/>
              <w:end w:w="120" w:type="dxa"/>
            </w:tcMar>
            <w:vAlign w:val="center"/>
          </w:tcPr>
          <w:p>
            <w:pPr>
              <w:spacing w:before="0" w:after="40" w:line="259" w:lineRule="auto"/>
            </w:pPr>
            <w:r>
              <w:rPr>
                <w:rFonts w:ascii="Calibri" w:hAnsi="Calibri"/>
                <w:b w:val="0"/>
                <w:color w:val="1B2733"/>
                <w:sz w:val="18"/>
              </w:rPr>
              <w:t>Alberta and Saskatchewan</w:t>
            </w:r>
          </w:p>
        </w:tc>
        <w:tc>
          <w:tcPr>
            <w:tcW w:type="dxa" w:w="7160"/>
            <w:tcMar>
              <w:top w:w="80" w:type="dxa"/>
              <w:start w:w="120" w:type="dxa"/>
              <w:bottom w:w="80" w:type="dxa"/>
              <w:end w:w="120" w:type="dxa"/>
            </w:tcMar>
            <w:vAlign w:val="center"/>
          </w:tcPr>
          <w:p>
            <w:pPr>
              <w:spacing w:before="0" w:after="40" w:line="259" w:lineRule="auto"/>
            </w:pPr>
            <w:r>
              <w:rPr>
                <w:rFonts w:ascii="Calibri" w:hAnsi="Calibri"/>
                <w:b w:val="0"/>
                <w:color w:val="1B2733"/>
                <w:sz w:val="18"/>
              </w:rPr>
              <w:t>Numbered treaties create a different legal foundation, so B.C.’s private-title issue is not directly transferable. Treaty implementation, consultation, cumulative effects, reserve claims and project impacts remain significant.</w:t>
            </w:r>
          </w:p>
        </w:tc>
      </w:tr>
      <w:tr>
        <w:tc>
          <w:tcPr>
            <w:tcW w:type="dxa" w:w="2200"/>
            <w:tcMar>
              <w:top w:w="80" w:type="dxa"/>
              <w:start w:w="120" w:type="dxa"/>
              <w:bottom w:w="80" w:type="dxa"/>
              <w:end w:w="120" w:type="dxa"/>
            </w:tcMar>
            <w:vAlign w:val="center"/>
          </w:tcPr>
          <w:p>
            <w:pPr>
              <w:spacing w:before="0" w:after="40" w:line="259" w:lineRule="auto"/>
            </w:pPr>
            <w:r>
              <w:rPr>
                <w:rFonts w:ascii="Calibri" w:hAnsi="Calibri"/>
                <w:b w:val="0"/>
                <w:color w:val="1B2733"/>
                <w:sz w:val="18"/>
              </w:rPr>
              <w:t>Manitoba and Ontario</w:t>
            </w:r>
          </w:p>
        </w:tc>
        <w:tc>
          <w:tcPr>
            <w:tcW w:type="dxa" w:w="7160"/>
            <w:tcMar>
              <w:top w:w="80" w:type="dxa"/>
              <w:start w:w="120" w:type="dxa"/>
              <w:bottom w:w="80" w:type="dxa"/>
              <w:end w:w="120" w:type="dxa"/>
            </w:tcMar>
            <w:vAlign w:val="center"/>
          </w:tcPr>
          <w:p>
            <w:pPr>
              <w:spacing w:before="0" w:after="40" w:line="259" w:lineRule="auto"/>
            </w:pPr>
            <w:r>
              <w:rPr>
                <w:rFonts w:ascii="Calibri" w:hAnsi="Calibri"/>
                <w:b w:val="0"/>
                <w:color w:val="1B2733"/>
                <w:sz w:val="18"/>
              </w:rPr>
              <w:t>Broad historic-treaty coverage reduces direct similarity to B.C., but treaty interpretation, unfulfilled obligations, northern infrastructure and cumulative impacts can still delay development.</w:t>
            </w:r>
          </w:p>
        </w:tc>
      </w:tr>
      <w:tr>
        <w:tc>
          <w:tcPr>
            <w:tcW w:type="dxa" w:w="2200"/>
            <w:tcMar>
              <w:top w:w="80" w:type="dxa"/>
              <w:start w:w="120" w:type="dxa"/>
              <w:bottom w:w="80" w:type="dxa"/>
              <w:end w:w="120" w:type="dxa"/>
            </w:tcMar>
            <w:vAlign w:val="center"/>
          </w:tcPr>
          <w:p>
            <w:pPr>
              <w:spacing w:before="0" w:after="40" w:line="259" w:lineRule="auto"/>
            </w:pPr>
            <w:r>
              <w:rPr>
                <w:rFonts w:ascii="Calibri" w:hAnsi="Calibri"/>
                <w:b w:val="0"/>
                <w:color w:val="1B2733"/>
                <w:sz w:val="18"/>
              </w:rPr>
              <w:t>Quebec</w:t>
            </w:r>
          </w:p>
        </w:tc>
        <w:tc>
          <w:tcPr>
            <w:tcW w:type="dxa" w:w="7160"/>
            <w:tcMar>
              <w:top w:w="80" w:type="dxa"/>
              <w:start w:w="120" w:type="dxa"/>
              <w:bottom w:w="80" w:type="dxa"/>
              <w:end w:w="120" w:type="dxa"/>
            </w:tcMar>
            <w:vAlign w:val="center"/>
          </w:tcPr>
          <w:p>
            <w:pPr>
              <w:spacing w:before="0" w:after="40" w:line="259" w:lineRule="auto"/>
            </w:pPr>
            <w:r>
              <w:rPr>
                <w:rFonts w:ascii="Calibri" w:hAnsi="Calibri"/>
                <w:b w:val="0"/>
                <w:color w:val="1B2733"/>
                <w:sz w:val="18"/>
              </w:rPr>
              <w:t>Modern treaties provide structure in some northern areas, while unresolved claims and consultation obligations remain important for hydroelectric, mining and critical-mineral projects.</w:t>
            </w:r>
          </w:p>
        </w:tc>
      </w:tr>
      <w:tr>
        <w:tc>
          <w:tcPr>
            <w:tcW w:type="dxa" w:w="2200"/>
            <w:tcMar>
              <w:top w:w="80" w:type="dxa"/>
              <w:start w:w="120" w:type="dxa"/>
              <w:bottom w:w="80" w:type="dxa"/>
              <w:end w:w="120" w:type="dxa"/>
            </w:tcMar>
            <w:vAlign w:val="center"/>
          </w:tcPr>
          <w:p>
            <w:pPr>
              <w:spacing w:before="0" w:after="40" w:line="259" w:lineRule="auto"/>
            </w:pPr>
            <w:r>
              <w:rPr>
                <w:rFonts w:ascii="Calibri" w:hAnsi="Calibri"/>
                <w:b w:val="0"/>
                <w:color w:val="1B2733"/>
                <w:sz w:val="18"/>
              </w:rPr>
              <w:t>New Brunswick and Nova Scotia</w:t>
            </w:r>
          </w:p>
        </w:tc>
        <w:tc>
          <w:tcPr>
            <w:tcW w:type="dxa" w:w="7160"/>
            <w:tcMar>
              <w:top w:w="80" w:type="dxa"/>
              <w:start w:w="120" w:type="dxa"/>
              <w:bottom w:w="80" w:type="dxa"/>
              <w:end w:w="120" w:type="dxa"/>
            </w:tcMar>
            <w:vAlign w:val="center"/>
          </w:tcPr>
          <w:p>
            <w:pPr>
              <w:spacing w:before="0" w:after="40" w:line="259" w:lineRule="auto"/>
            </w:pPr>
            <w:r>
              <w:rPr>
                <w:rFonts w:ascii="Calibri" w:hAnsi="Calibri"/>
                <w:b w:val="0"/>
                <w:color w:val="1B2733"/>
                <w:sz w:val="18"/>
              </w:rPr>
              <w:t>Peace and Friendship Treaty circumstances differ from B.C., but Aboriginal-title litigation and private-land questions show that the issue is not exclusively British Columbian.</w:t>
            </w:r>
          </w:p>
        </w:tc>
      </w:tr>
      <w:tr>
        <w:tc>
          <w:tcPr>
            <w:tcW w:type="dxa" w:w="2200"/>
            <w:tcMar>
              <w:top w:w="80" w:type="dxa"/>
              <w:start w:w="120" w:type="dxa"/>
              <w:bottom w:w="80" w:type="dxa"/>
              <w:end w:w="120" w:type="dxa"/>
            </w:tcMar>
            <w:vAlign w:val="center"/>
          </w:tcPr>
          <w:p>
            <w:pPr>
              <w:spacing w:before="0" w:after="40" w:line="259" w:lineRule="auto"/>
            </w:pPr>
            <w:r>
              <w:rPr>
                <w:rFonts w:ascii="Calibri" w:hAnsi="Calibri"/>
                <w:b w:val="0"/>
                <w:color w:val="1B2733"/>
                <w:sz w:val="18"/>
              </w:rPr>
              <w:t>Newfoundland and Labrador</w:t>
            </w:r>
          </w:p>
        </w:tc>
        <w:tc>
          <w:tcPr>
            <w:tcW w:type="dxa" w:w="7160"/>
            <w:tcMar>
              <w:top w:w="80" w:type="dxa"/>
              <w:start w:w="120" w:type="dxa"/>
              <w:bottom w:w="80" w:type="dxa"/>
              <w:end w:w="120" w:type="dxa"/>
            </w:tcMar>
            <w:vAlign w:val="center"/>
          </w:tcPr>
          <w:p>
            <w:pPr>
              <w:spacing w:before="0" w:after="40" w:line="259" w:lineRule="auto"/>
            </w:pPr>
            <w:r>
              <w:rPr>
                <w:rFonts w:ascii="Calibri" w:hAnsi="Calibri"/>
                <w:b w:val="0"/>
                <w:color w:val="1B2733"/>
                <w:sz w:val="18"/>
              </w:rPr>
              <w:t>Modern agreements provide certainty in some areas, while continuing claims and negotiations affect mining, hydroelectric and other projects.</w:t>
            </w:r>
          </w:p>
        </w:tc>
      </w:tr>
      <w:tr>
        <w:tc>
          <w:tcPr>
            <w:tcW w:type="dxa" w:w="2200"/>
            <w:tcMar>
              <w:top w:w="80" w:type="dxa"/>
              <w:start w:w="120" w:type="dxa"/>
              <w:bottom w:w="80" w:type="dxa"/>
              <w:end w:w="120" w:type="dxa"/>
            </w:tcMar>
            <w:vAlign w:val="center"/>
          </w:tcPr>
          <w:p>
            <w:pPr>
              <w:spacing w:before="0" w:after="40" w:line="259" w:lineRule="auto"/>
            </w:pPr>
            <w:r>
              <w:rPr>
                <w:rFonts w:ascii="Calibri" w:hAnsi="Calibri"/>
                <w:b w:val="0"/>
                <w:color w:val="1B2733"/>
                <w:sz w:val="18"/>
              </w:rPr>
              <w:t>Territories</w:t>
            </w:r>
          </w:p>
        </w:tc>
        <w:tc>
          <w:tcPr>
            <w:tcW w:type="dxa" w:w="7160"/>
            <w:tcMar>
              <w:top w:w="80" w:type="dxa"/>
              <w:start w:w="120" w:type="dxa"/>
              <w:bottom w:w="80" w:type="dxa"/>
              <w:end w:w="120" w:type="dxa"/>
            </w:tcMar>
            <w:vAlign w:val="center"/>
          </w:tcPr>
          <w:p>
            <w:pPr>
              <w:spacing w:before="0" w:after="40" w:line="259" w:lineRule="auto"/>
            </w:pPr>
            <w:r>
              <w:rPr>
                <w:rFonts w:ascii="Calibri" w:hAnsi="Calibri"/>
                <w:b w:val="0"/>
                <w:color w:val="1B2733"/>
                <w:sz w:val="18"/>
              </w:rPr>
              <w:t>Modern treaties and co-management boards offer useful institutional models, although implementation, overlapping interests and community capacity remain concerns.</w:t>
            </w:r>
          </w:p>
        </w:tc>
      </w:tr>
    </w:tbl>
    <w:p>
      <w:pPr>
        <w:pStyle w:val="Heading1"/>
        <w:keepNext/>
      </w:pPr>
      <w:r>
        <w:rPr>
          <w:rFonts w:ascii="Calibri" w:hAnsi="Calibri"/>
          <w:color w:val="1B2733"/>
          <w:sz w:val="22"/>
        </w:rPr>
        <w:t>7. Implications for industry</w:t>
      </w:r>
    </w:p>
    <w:p>
      <w:r>
        <w:rPr>
          <w:rFonts w:ascii="Calibri" w:hAnsi="Calibri"/>
          <w:i w:val="0"/>
          <w:color w:val="1B2733"/>
          <w:sz w:val="22"/>
        </w:rPr>
        <w:t>For resource industries, including seismic exploration, the governing question is no longer simply whether a company holds a provincial permit and landowner approval. It is whether the wider title, treaty, consultation and cumulative-effects context has been addressed.</w:t>
      </w:r>
    </w:p>
    <w:p>
      <w:pPr>
        <w:numPr>
          <w:ilvl w:val="0"/>
          <w:numId w:val="10"/>
        </w:numPr>
        <w:spacing w:before="0" w:after="160" w:line="280" w:lineRule="auto"/>
      </w:pPr>
      <w:r>
        <w:rPr>
          <w:rFonts w:ascii="Calibri" w:hAnsi="Calibri"/>
          <w:color w:val="1B2733"/>
          <w:sz w:val="22"/>
        </w:rPr>
        <w:t>Longer land-access, environmental-assessment and permitting schedules.</w:t>
      </w:r>
    </w:p>
    <w:p>
      <w:pPr>
        <w:numPr>
          <w:ilvl w:val="0"/>
          <w:numId w:val="10"/>
        </w:numPr>
        <w:spacing w:before="0" w:after="160" w:line="280" w:lineRule="auto"/>
      </w:pPr>
      <w:r>
        <w:rPr>
          <w:rFonts w:ascii="Calibri" w:hAnsi="Calibri"/>
          <w:color w:val="1B2733"/>
          <w:sz w:val="22"/>
        </w:rPr>
        <w:t>Greater legal, financing, tenure and title-insurance due diligence.</w:t>
      </w:r>
    </w:p>
    <w:p>
      <w:pPr>
        <w:numPr>
          <w:ilvl w:val="0"/>
          <w:numId w:val="10"/>
        </w:numPr>
        <w:spacing w:before="0" w:after="160" w:line="280" w:lineRule="auto"/>
      </w:pPr>
      <w:r>
        <w:rPr>
          <w:rFonts w:ascii="Calibri" w:hAnsi="Calibri"/>
          <w:color w:val="1B2733"/>
          <w:sz w:val="22"/>
        </w:rPr>
        <w:t>Increased vulnerability of licences or permits issued under regimes that did not provide adequate consultation.</w:t>
      </w:r>
    </w:p>
    <w:p>
      <w:pPr>
        <w:numPr>
          <w:ilvl w:val="0"/>
          <w:numId w:val="10"/>
        </w:numPr>
        <w:spacing w:before="0" w:after="160" w:line="280" w:lineRule="auto"/>
      </w:pPr>
      <w:r>
        <w:rPr>
          <w:rFonts w:ascii="Calibri" w:hAnsi="Calibri"/>
          <w:color w:val="1B2733"/>
          <w:sz w:val="22"/>
        </w:rPr>
        <w:t>More regional limits on land disturbance, line clearing, roads and cumulative footprint.</w:t>
      </w:r>
    </w:p>
    <w:p>
      <w:pPr>
        <w:numPr>
          <w:ilvl w:val="0"/>
          <w:numId w:val="10"/>
        </w:numPr>
        <w:spacing w:before="0" w:after="160" w:line="280" w:lineRule="auto"/>
      </w:pPr>
      <w:r>
        <w:rPr>
          <w:rFonts w:ascii="Calibri" w:hAnsi="Calibri"/>
          <w:color w:val="1B2733"/>
          <w:sz w:val="22"/>
        </w:rPr>
        <w:t>Additional conditions affecting seismic drilling, explosives, vibroseis, camps, water use and access routes.</w:t>
      </w:r>
    </w:p>
    <w:p>
      <w:pPr>
        <w:numPr>
          <w:ilvl w:val="0"/>
          <w:numId w:val="10"/>
        </w:numPr>
        <w:spacing w:before="0" w:after="160" w:line="280" w:lineRule="auto"/>
      </w:pPr>
      <w:r>
        <w:rPr>
          <w:rFonts w:ascii="Calibri" w:hAnsi="Calibri"/>
          <w:color w:val="1B2733"/>
          <w:sz w:val="22"/>
        </w:rPr>
        <w:t>Greater requirements for Indigenous monitoring, contracting, employment, data-sharing and cultural-site protection.</w:t>
      </w:r>
    </w:p>
    <w:p>
      <w:pPr>
        <w:numPr>
          <w:ilvl w:val="0"/>
          <w:numId w:val="10"/>
        </w:numPr>
        <w:spacing w:before="0" w:after="160" w:line="280" w:lineRule="auto"/>
      </w:pPr>
      <w:r>
        <w:rPr>
          <w:rFonts w:ascii="Calibri" w:hAnsi="Calibri"/>
          <w:color w:val="1B2733"/>
          <w:sz w:val="22"/>
        </w:rPr>
        <w:t>More Indigenous equity ownership, revenue sharing and joint ventures.</w:t>
      </w:r>
    </w:p>
    <w:p>
      <w:pPr>
        <w:numPr>
          <w:ilvl w:val="0"/>
          <w:numId w:val="10"/>
        </w:numPr>
        <w:spacing w:before="0" w:after="160" w:line="280" w:lineRule="auto"/>
      </w:pPr>
      <w:r>
        <w:rPr>
          <w:rFonts w:ascii="Calibri" w:hAnsi="Calibri"/>
          <w:color w:val="1B2733"/>
          <w:sz w:val="22"/>
        </w:rPr>
        <w:t>Higher early-stage costs, but potentially much greater long-term project certainty where agreements are durable and properly authorized.</w:t>
      </w:r>
    </w:p>
    <w:p>
      <w:pPr>
        <w:pStyle w:val="Heading2"/>
        <w:keepNext/>
      </w:pPr>
      <w:r>
        <w:rPr>
          <w:rFonts w:ascii="Calibri" w:hAnsi="Calibri"/>
          <w:color w:val="1B2733"/>
          <w:sz w:val="22"/>
        </w:rPr>
        <w:t>Practical measures for seismic and resource contractors</w:t>
      </w:r>
    </w:p>
    <w:p>
      <w:pPr>
        <w:numPr>
          <w:ilvl w:val="0"/>
          <w:numId w:val="10"/>
        </w:numPr>
        <w:spacing w:before="0" w:after="160" w:line="280" w:lineRule="auto"/>
      </w:pPr>
      <w:r>
        <w:rPr>
          <w:rFonts w:ascii="Calibri" w:hAnsi="Calibri"/>
          <w:color w:val="1B2733"/>
          <w:sz w:val="22"/>
        </w:rPr>
        <w:t>Add treaty, title, asserted-rights and overlapping-claim screening to bid/no-bid and project-design reviews.</w:t>
      </w:r>
    </w:p>
    <w:p>
      <w:pPr>
        <w:numPr>
          <w:ilvl w:val="0"/>
          <w:numId w:val="10"/>
        </w:numPr>
        <w:spacing w:before="0" w:after="160" w:line="280" w:lineRule="auto"/>
      </w:pPr>
      <w:r>
        <w:rPr>
          <w:rFonts w:ascii="Calibri" w:hAnsi="Calibri"/>
          <w:color w:val="1B2733"/>
          <w:sz w:val="22"/>
        </w:rPr>
        <w:t>Do not assume that private landowner consent or a provincial authorization satisfies the Crown’s consultation obligations.</w:t>
      </w:r>
    </w:p>
    <w:p>
      <w:pPr>
        <w:numPr>
          <w:ilvl w:val="0"/>
          <w:numId w:val="10"/>
        </w:numPr>
        <w:spacing w:before="0" w:after="160" w:line="280" w:lineRule="auto"/>
      </w:pPr>
      <w:r>
        <w:rPr>
          <w:rFonts w:ascii="Calibri" w:hAnsi="Calibri"/>
          <w:color w:val="1B2733"/>
          <w:sz w:val="22"/>
        </w:rPr>
        <w:t>Engage potentially affected Nations during program design, before routes, source points, access and seasonal timing become fixed.</w:t>
      </w:r>
    </w:p>
    <w:p>
      <w:pPr>
        <w:numPr>
          <w:ilvl w:val="0"/>
          <w:numId w:val="10"/>
        </w:numPr>
        <w:spacing w:before="0" w:after="160" w:line="280" w:lineRule="auto"/>
      </w:pPr>
      <w:r>
        <w:rPr>
          <w:rFonts w:ascii="Calibri" w:hAnsi="Calibri"/>
          <w:color w:val="1B2733"/>
          <w:sz w:val="22"/>
        </w:rPr>
        <w:t>Carry schedule and cost contingencies for consultation, cultural surveys, wildlife restrictions and cumulative-effects controls.</w:t>
      </w:r>
    </w:p>
    <w:p>
      <w:pPr>
        <w:numPr>
          <w:ilvl w:val="0"/>
          <w:numId w:val="10"/>
        </w:numPr>
        <w:spacing w:before="0" w:after="160" w:line="280" w:lineRule="auto"/>
      </w:pPr>
      <w:r>
        <w:rPr>
          <w:rFonts w:ascii="Calibri" w:hAnsi="Calibri"/>
          <w:color w:val="1B2733"/>
          <w:sz w:val="22"/>
        </w:rPr>
        <w:t>Use contracts that allocate risks associated with access changes, consultation conditions, work suspensions and permit amendments.</w:t>
      </w:r>
    </w:p>
    <w:p>
      <w:pPr>
        <w:numPr>
          <w:ilvl w:val="0"/>
          <w:numId w:val="10"/>
        </w:numPr>
        <w:spacing w:before="0" w:after="160" w:line="280" w:lineRule="auto"/>
      </w:pPr>
      <w:r>
        <w:rPr>
          <w:rFonts w:ascii="Calibri" w:hAnsi="Calibri"/>
          <w:color w:val="1B2733"/>
          <w:sz w:val="22"/>
        </w:rPr>
        <w:t>Develop long-term Nation-to-company relationships and procurement arrangements rather than one-project transactional engagement.</w:t>
      </w:r>
    </w:p>
    <w:tbl>
      <w:tblPr>
        <w:tblW w:type="dxa" w:w="9360"/>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vAlign w:val="center"/>
            <w:shd w:fill="F4F6F9"/>
          </w:tcPr>
          <w:p>
            <w:pPr>
              <w:spacing w:before="40" w:after="40" w:line="276" w:lineRule="auto"/>
            </w:pPr>
            <w:r>
              <w:rPr>
                <w:rFonts w:ascii="Calibri" w:hAnsi="Calibri"/>
                <w:b/>
                <w:color w:val="1F4D78"/>
                <w:sz w:val="22"/>
              </w:rPr>
              <w:t xml:space="preserve">Commercial conclusion: </w:t>
            </w:r>
            <w:r>
              <w:rPr>
                <w:rFonts w:ascii="Calibri" w:hAnsi="Calibri"/>
                <w:color w:val="1B2733"/>
                <w:sz w:val="22"/>
              </w:rPr>
              <w:t>Industry’s preferred outcome should not be weaker Indigenous-rights protection. It should be earlier engagement, clearer rules, authoritative mapping and agreements that remain valid across political cycles. Certainty produced through a fair process is commercially valuable; apparent certainty produced by ignoring unresolved rights generally creates larger costs later.</w:t>
            </w:r>
          </w:p>
        </w:tc>
      </w:tr>
    </w:tbl>
    <w:p>
      <w:pPr>
        <w:spacing w:after="0"/>
      </w:pPr>
    </w:p>
    <w:p>
      <w:pPr>
        <w:pStyle w:val="Heading1"/>
        <w:keepNext/>
      </w:pPr>
      <w:r>
        <w:rPr>
          <w:rFonts w:ascii="Calibri" w:hAnsi="Calibri"/>
          <w:color w:val="1B2733"/>
          <w:sz w:val="22"/>
        </w:rPr>
        <w:t>8. Overall conclusion</w:t>
      </w:r>
    </w:p>
    <w:p>
      <w:r>
        <w:rPr>
          <w:rFonts w:ascii="Calibri" w:hAnsi="Calibri"/>
          <w:i w:val="0"/>
          <w:color w:val="1B2733"/>
          <w:sz w:val="22"/>
        </w:rPr>
        <w:t>The article correctly identifies the absence of a credible, comprehensive public institution as a central weakness in B.C.’s current approach. Its land-title tribunal proposal is directionally useful, but the durable solution is more likely to be a co-designed hybrid commission that combines public notice, evidence, mediation, negotiated settlement and adjudication within constitutional limits.</w:t>
      </w:r>
    </w:p>
    <w:p>
      <w:r>
        <w:rPr>
          <w:rFonts w:ascii="Calibri" w:hAnsi="Calibri"/>
          <w:i w:val="0"/>
          <w:color w:val="1B2733"/>
          <w:sz w:val="22"/>
        </w:rPr>
        <w:t>British Columbia requires immediate interim rules while appeals continue, followed by a transparent institutional framework that can survive changes of government. Other provinces should not assume that B.C.’s circumstances apply identically to them, but they should treat the B.C. cases as a warning to address treaty implementation, cumulative effects and unresolved claims before individual projects force those issues back into court.</w:t>
      </w:r>
    </w:p>
    <w:p>
      <w:pPr>
        <w:pStyle w:val="Heading1"/>
        <w:keepNext/>
      </w:pPr>
      <w:r>
        <w:rPr>
          <w:rFonts w:ascii="Calibri" w:hAnsi="Calibri"/>
          <w:color w:val="1B2733"/>
          <w:sz w:val="22"/>
        </w:rPr>
        <w:t>Selected sources and legal authorities</w:t>
      </w:r>
    </w:p>
    <w:p>
      <w:r>
        <w:rPr>
          <w:rFonts w:ascii="Calibri" w:hAnsi="Calibri"/>
          <w:i w:val="0"/>
          <w:color w:val="1B2733"/>
          <w:sz w:val="22"/>
        </w:rPr>
        <w:t>The uploaded article was the principal source for the issues summarized above. The following current primary and institutional sources were used to qualify significant legal-status claims.</w:t>
      </w:r>
    </w:p>
    <w:p>
      <w:pPr>
        <w:spacing w:after="120"/>
        <w:ind w:left="360" w:hanging="360"/>
      </w:pPr>
      <w:r>
        <w:rPr>
          <w:rFonts w:ascii="Calibri" w:hAnsi="Calibri"/>
          <w:b/>
          <w:color w:val="1B2733"/>
          <w:sz w:val="19"/>
        </w:rPr>
        <w:t xml:space="preserve">1. </w:t>
      </w:r>
      <w:hyperlink r:id="rId11">
        <w:r>
          <w:rPr>
            <w:rFonts w:ascii="Calibri" w:hAnsi="Calibri"/>
            <w:color w:val="2E74B5"/>
            <w:u w:val="single"/>
          </w:rPr>
          <w:t>Supreme Court of Canada — Tsilhqot’in Nation v. British Columbia, 2014 SCC 44</w:t>
        </w:r>
      </w:hyperlink>
      <w:r>
        <w:rPr>
          <w:rFonts w:ascii="Calibri" w:hAnsi="Calibri"/>
          <w:color w:val="5B6570"/>
          <w:sz w:val="19"/>
        </w:rPr>
        <w:t xml:space="preserve"> — Aboriginal-title test, consent and justification</w:t>
      </w:r>
    </w:p>
    <w:p>
      <w:pPr>
        <w:spacing w:after="120"/>
        <w:ind w:left="360" w:hanging="360"/>
      </w:pPr>
      <w:r>
        <w:rPr>
          <w:rFonts w:ascii="Calibri" w:hAnsi="Calibri"/>
          <w:b/>
          <w:color w:val="1B2733"/>
          <w:sz w:val="19"/>
        </w:rPr>
        <w:t xml:space="preserve">2. </w:t>
      </w:r>
      <w:hyperlink r:id="rId12">
        <w:r>
          <w:rPr>
            <w:rFonts w:ascii="Calibri" w:hAnsi="Calibri"/>
            <w:color w:val="2E74B5"/>
            <w:u w:val="single"/>
          </w:rPr>
          <w:t>Government of British Columbia — Declaration on the Rights of Indigenous Peoples Act</w:t>
        </w:r>
      </w:hyperlink>
      <w:r>
        <w:rPr>
          <w:rFonts w:ascii="Calibri" w:hAnsi="Calibri"/>
          <w:color w:val="5B6570"/>
          <w:sz w:val="19"/>
        </w:rPr>
        <w:t xml:space="preserve"> — Current provincial implementation overview</w:t>
      </w:r>
    </w:p>
    <w:p>
      <w:pPr>
        <w:spacing w:after="120"/>
        <w:ind w:left="360" w:hanging="360"/>
      </w:pPr>
      <w:r>
        <w:rPr>
          <w:rFonts w:ascii="Calibri" w:hAnsi="Calibri"/>
          <w:b/>
          <w:color w:val="1B2733"/>
          <w:sz w:val="19"/>
        </w:rPr>
        <w:t xml:space="preserve">3. </w:t>
      </w:r>
      <w:hyperlink r:id="rId13">
        <w:r>
          <w:rPr>
            <w:rFonts w:ascii="Calibri" w:hAnsi="Calibri"/>
            <w:color w:val="2E74B5"/>
            <w:u w:val="single"/>
          </w:rPr>
          <w:t>B.C. Court of Appeal — Gitxaala v. British Columbia, 2025 BCCA 430</w:t>
        </w:r>
      </w:hyperlink>
      <w:r>
        <w:rPr>
          <w:rFonts w:ascii="Calibri" w:hAnsi="Calibri"/>
          <w:color w:val="5B6570"/>
          <w:sz w:val="19"/>
        </w:rPr>
        <w:t xml:space="preserve"> — DRIPA and UNDRIP interpretation</w:t>
      </w:r>
    </w:p>
    <w:p>
      <w:pPr>
        <w:spacing w:after="120"/>
        <w:ind w:left="360" w:hanging="360"/>
      </w:pPr>
      <w:r>
        <w:rPr>
          <w:rFonts w:ascii="Calibri" w:hAnsi="Calibri"/>
          <w:b/>
          <w:color w:val="1B2733"/>
          <w:sz w:val="19"/>
        </w:rPr>
        <w:t xml:space="preserve">4. </w:t>
      </w:r>
      <w:hyperlink r:id="rId14">
        <w:r>
          <w:rPr>
            <w:rFonts w:ascii="Calibri" w:hAnsi="Calibri"/>
            <w:color w:val="2E74B5"/>
            <w:u w:val="single"/>
          </w:rPr>
          <w:t>Supreme Court of Canada — Case 42200</w:t>
        </w:r>
      </w:hyperlink>
      <w:r>
        <w:rPr>
          <w:rFonts w:ascii="Calibri" w:hAnsi="Calibri"/>
          <w:color w:val="5B6570"/>
          <w:sz w:val="19"/>
        </w:rPr>
        <w:t xml:space="preserve"> — Leave to appeal Gitxaala granted May 21, 2026</w:t>
      </w:r>
    </w:p>
    <w:p>
      <w:pPr>
        <w:spacing w:after="120"/>
        <w:ind w:left="360" w:hanging="360"/>
      </w:pPr>
      <w:r>
        <w:rPr>
          <w:rFonts w:ascii="Calibri" w:hAnsi="Calibri"/>
          <w:b/>
          <w:color w:val="1B2733"/>
          <w:sz w:val="19"/>
        </w:rPr>
        <w:t xml:space="preserve">5. </w:t>
      </w:r>
      <w:hyperlink r:id="rId15">
        <w:r>
          <w:rPr>
            <w:rFonts w:ascii="Calibri" w:hAnsi="Calibri"/>
            <w:color w:val="2E74B5"/>
            <w:u w:val="single"/>
          </w:rPr>
          <w:t>Government of B.C. and First Nations Leadership Council — April 20, 2026 DRIPA statement</w:t>
        </w:r>
      </w:hyperlink>
      <w:r>
        <w:rPr>
          <w:rFonts w:ascii="Calibri" w:hAnsi="Calibri"/>
          <w:color w:val="5B6570"/>
          <w:sz w:val="19"/>
        </w:rPr>
        <w:t xml:space="preserve"> — No spring 2026 suspension or amendment legislation</w:t>
      </w:r>
    </w:p>
    <w:p>
      <w:pPr>
        <w:spacing w:after="120"/>
        <w:ind w:left="360" w:hanging="360"/>
      </w:pPr>
      <w:r>
        <w:rPr>
          <w:rFonts w:ascii="Calibri" w:hAnsi="Calibri"/>
          <w:b/>
          <w:color w:val="1B2733"/>
          <w:sz w:val="19"/>
        </w:rPr>
        <w:t xml:space="preserve">6. </w:t>
      </w:r>
      <w:hyperlink r:id="rId16">
        <w:r>
          <w:rPr>
            <w:rFonts w:ascii="Calibri" w:hAnsi="Calibri"/>
            <w:color w:val="2E74B5"/>
            <w:u w:val="single"/>
          </w:rPr>
          <w:t>B.C. Supreme Court — Cowichan Tribes v. Canada, 2025 BCSC 1490</w:t>
        </w:r>
      </w:hyperlink>
      <w:r>
        <w:rPr>
          <w:rFonts w:ascii="Calibri" w:hAnsi="Calibri"/>
          <w:color w:val="5B6570"/>
          <w:sz w:val="19"/>
        </w:rPr>
        <w:t xml:space="preserve"> — Aboriginal title and fee-simple interests</w:t>
      </w:r>
    </w:p>
    <w:p>
      <w:pPr>
        <w:spacing w:after="120"/>
        <w:ind w:left="360" w:hanging="360"/>
      </w:pPr>
      <w:r>
        <w:rPr>
          <w:rFonts w:ascii="Calibri" w:hAnsi="Calibri"/>
          <w:b/>
          <w:color w:val="1B2733"/>
          <w:sz w:val="19"/>
        </w:rPr>
        <w:t xml:space="preserve">7. </w:t>
      </w:r>
      <w:hyperlink r:id="rId17">
        <w:r>
          <w:rPr>
            <w:rFonts w:ascii="Calibri" w:hAnsi="Calibri"/>
            <w:color w:val="2E74B5"/>
            <w:u w:val="single"/>
          </w:rPr>
          <w:t>B.C. Attorney General — Statement on Cowichan Tribes appeal</w:t>
        </w:r>
      </w:hyperlink>
      <w:r>
        <w:rPr>
          <w:rFonts w:ascii="Calibri" w:hAnsi="Calibri"/>
          <w:color w:val="5B6570"/>
          <w:sz w:val="19"/>
        </w:rPr>
        <w:t xml:space="preserve"> — Appeal and stay position</w:t>
      </w:r>
    </w:p>
    <w:p>
      <w:pPr>
        <w:spacing w:after="120"/>
        <w:ind w:left="360" w:hanging="360"/>
      </w:pPr>
      <w:r>
        <w:rPr>
          <w:rFonts w:ascii="Calibri" w:hAnsi="Calibri"/>
          <w:b/>
          <w:color w:val="1B2733"/>
          <w:sz w:val="19"/>
        </w:rPr>
        <w:t xml:space="preserve">8. </w:t>
      </w:r>
      <w:hyperlink r:id="rId18">
        <w:r>
          <w:rPr>
            <w:rFonts w:ascii="Calibri" w:hAnsi="Calibri"/>
            <w:color w:val="2E74B5"/>
            <w:u w:val="single"/>
          </w:rPr>
          <w:t>B.C. Court of Appeal — Nuchatlaht v. British Columbia, 2026 BCCA 137</w:t>
        </w:r>
      </w:hyperlink>
      <w:r>
        <w:rPr>
          <w:rFonts w:ascii="Calibri" w:hAnsi="Calibri"/>
          <w:color w:val="5B6570"/>
          <w:sz w:val="19"/>
        </w:rPr>
        <w:t xml:space="preserve"> — Title declaration and evidentiary analysis</w:t>
      </w:r>
    </w:p>
    <w:p>
      <w:pPr>
        <w:spacing w:after="120"/>
        <w:ind w:left="360" w:hanging="360"/>
      </w:pPr>
      <w:r>
        <w:rPr>
          <w:rFonts w:ascii="Calibri" w:hAnsi="Calibri"/>
          <w:b/>
          <w:color w:val="1B2733"/>
          <w:sz w:val="19"/>
        </w:rPr>
        <w:t xml:space="preserve">9. </w:t>
      </w:r>
      <w:hyperlink r:id="rId19">
        <w:r>
          <w:rPr>
            <w:rFonts w:ascii="Calibri" w:hAnsi="Calibri"/>
            <w:color w:val="2E74B5"/>
            <w:u w:val="single"/>
          </w:rPr>
          <w:t>Specific Claims Tribunal — About the Tribunal</w:t>
        </w:r>
      </w:hyperlink>
      <w:r>
        <w:rPr>
          <w:rFonts w:ascii="Calibri" w:hAnsi="Calibri"/>
          <w:color w:val="5B6570"/>
          <w:sz w:val="19"/>
        </w:rPr>
        <w:t xml:space="preserve"> — Existing tribunal mandate and jurisdiction</w:t>
      </w:r>
    </w:p>
    <w:p>
      <w:pPr>
        <w:spacing w:after="120"/>
        <w:ind w:left="360" w:hanging="360"/>
      </w:pPr>
      <w:r>
        <w:rPr>
          <w:rFonts w:ascii="Calibri" w:hAnsi="Calibri"/>
          <w:b/>
          <w:color w:val="1B2733"/>
          <w:sz w:val="19"/>
        </w:rPr>
        <w:t xml:space="preserve">10. </w:t>
      </w:r>
      <w:hyperlink r:id="rId20">
        <w:r>
          <w:rPr>
            <w:rFonts w:ascii="Calibri" w:hAnsi="Calibri"/>
            <w:color w:val="2E74B5"/>
            <w:u w:val="single"/>
          </w:rPr>
          <w:t>Crown-Indigenous Relations — Comprehensive Claims</w:t>
        </w:r>
      </w:hyperlink>
      <w:r>
        <w:rPr>
          <w:rFonts w:ascii="Calibri" w:hAnsi="Calibri"/>
          <w:color w:val="5B6570"/>
          <w:sz w:val="19"/>
        </w:rPr>
        <w:t xml:space="preserve"> — Modern treaty and comprehensive-claim framework</w:t>
      </w:r>
    </w:p>
    <w:p>
      <w:pPr>
        <w:spacing w:after="120"/>
        <w:ind w:left="360" w:hanging="360"/>
      </w:pPr>
      <w:r>
        <w:rPr>
          <w:rFonts w:ascii="Calibri" w:hAnsi="Calibri"/>
          <w:b/>
          <w:color w:val="1B2733"/>
          <w:sz w:val="19"/>
        </w:rPr>
        <w:t xml:space="preserve">11. </w:t>
      </w:r>
      <w:hyperlink r:id="rId21">
        <w:r>
          <w:rPr>
            <w:rFonts w:ascii="Calibri" w:hAnsi="Calibri"/>
            <w:color w:val="2E74B5"/>
            <w:u w:val="single"/>
          </w:rPr>
          <w:t>Crown-Indigenous Relations — Modern Treaties</w:t>
        </w:r>
      </w:hyperlink>
      <w:r>
        <w:rPr>
          <w:rFonts w:ascii="Calibri" w:hAnsi="Calibri"/>
          <w:color w:val="5B6570"/>
          <w:sz w:val="19"/>
        </w:rPr>
        <w:t xml:space="preserve"> — National modern-treaty overview</w:t>
      </w:r>
    </w:p>
    <w:p>
      <w:pPr>
        <w:spacing w:after="120"/>
        <w:ind w:left="360" w:hanging="360"/>
      </w:pPr>
      <w:r>
        <w:rPr>
          <w:rFonts w:ascii="Calibri" w:hAnsi="Calibri"/>
          <w:b/>
          <w:color w:val="1B2733"/>
          <w:sz w:val="19"/>
        </w:rPr>
        <w:t xml:space="preserve">12. </w:t>
      </w:r>
      <w:hyperlink r:id="rId22">
        <w:r>
          <w:rPr>
            <w:rFonts w:ascii="Calibri" w:hAnsi="Calibri"/>
            <w:color w:val="2E74B5"/>
            <w:u w:val="single"/>
          </w:rPr>
          <w:t>Canada and Musqueam — 2026 Rights Recognition Agreements</w:t>
        </w:r>
      </w:hyperlink>
      <w:r>
        <w:rPr>
          <w:rFonts w:ascii="Calibri" w:hAnsi="Calibri"/>
          <w:color w:val="5B6570"/>
          <w:sz w:val="19"/>
        </w:rPr>
        <w:t xml:space="preserve"> — Current example of incremental rights implementation</w:t>
      </w:r>
    </w:p>
    <w:tbl>
      <w:tblPr>
        <w:tblW w:type="dxa" w:w="9360"/>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vAlign w:val="center"/>
            <w:shd w:fill="F2F4F7"/>
          </w:tcPr>
          <w:p>
            <w:pPr>
              <w:spacing w:before="40" w:after="40" w:line="276" w:lineRule="auto"/>
            </w:pPr>
            <w:r>
              <w:rPr>
                <w:rFonts w:ascii="Calibri" w:hAnsi="Calibri"/>
                <w:b/>
                <w:color w:val="1F4D78"/>
                <w:sz w:val="22"/>
              </w:rPr>
              <w:t xml:space="preserve">Document status: </w:t>
            </w:r>
            <w:r>
              <w:rPr>
                <w:rFonts w:ascii="Calibri" w:hAnsi="Calibri"/>
                <w:color w:val="1B2733"/>
                <w:sz w:val="22"/>
              </w:rPr>
              <w:t>Draft for policy and stakeholder discussion. Legal counsel should review any conclusions used for project approvals, property transactions, litigation strategy or legislative drafting.</w:t>
            </w:r>
          </w:p>
        </w:tc>
      </w:tr>
    </w:tbl>
    <w:p>
      <w:pPr>
        <w:spacing w:after="0"/>
      </w:pP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B6570"/>
        <w:sz w:val="18"/>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Calibri" w:hAnsi="Calibri"/>
        <w:b/>
        <w:color w:val="5B6570"/>
        <w:sz w:val="17"/>
      </w:rPr>
      <w:t>EXECUTIVE BRIEFING  |  INDIGENOUS LAND TITLE &amp; GOVERNANCE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multilevel"/>
    <w:lvl w:ilvl="0">
      <w:start w:val="1"/>
      <w:numFmt w:val="bullet"/>
      <w:lvlText w:val="•"/>
      <w:lvlJc w:val="left"/>
      <w:pPr>
        <w:tabs>
          <w:tab w:val="num" w:pos="720"/>
        </w:tabs>
        <w:ind w:left="720" w:hanging="360"/>
        <w:spacing w:after="160" w:line="280" w:lineRule="auto"/>
      </w:pPr>
      <w:rPr>
        <w:rFonts w:ascii="Calibri" w:hAnsi="Calibri"/>
      </w:rPr>
    </w:lvl>
    <w:lvl w:ilvl="1">
      <w:start w:val="1"/>
      <w:numFmt w:val="bullet"/>
      <w:lvlText w:val="•"/>
      <w:lvlJc w:val="left"/>
      <w:pPr>
        <w:tabs>
          <w:tab w:val="num" w:pos="1080"/>
        </w:tabs>
        <w:ind w:left="1080" w:hanging="360"/>
        <w:spacing w:after="100" w:line="280" w:lineRule="auto"/>
      </w:pPr>
      <w:rPr>
        <w:rFonts w:ascii="Calibri" w:hAnsi="Calibri"/>
      </w:rPr>
    </w:lvl>
  </w:abstractNum>
  <w:num w:numId="10">
    <w:abstractNumId w:val="9"/>
  </w:num>
  <w:abstractNum w:abstractNumId="10">
    <w:multiLevelType w:val="multilevel"/>
    <w:lvl w:ilvl="0">
      <w:start w:val="1"/>
      <w:numFmt w:val="decimal"/>
      <w:lvlText w:val="%1."/>
      <w:lvlJc w:val="left"/>
      <w:pPr>
        <w:tabs>
          <w:tab w:val="num" w:pos="720"/>
        </w:tabs>
        <w:ind w:left="720" w:hanging="360"/>
        <w:spacing w:after="160" w:line="280" w:lineRule="auto"/>
      </w:pPr>
    </w:lvl>
    <w:lvl w:ilvl="1">
      <w:start w:val="1"/>
      <w:numFmt w:val="decimal"/>
      <w:lvlText w:val="%1.%2."/>
      <w:lvlJc w:val="left"/>
      <w:pPr>
        <w:tabs>
          <w:tab w:val="num" w:pos="1080"/>
        </w:tabs>
        <w:ind w:left="1080" w:hanging="360"/>
        <w:spacing w:after="100" w:line="280" w:lineRule="auto"/>
      </w:p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B27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decisions.scc-csc.ca/scc-csc/scc-csc/en/item/14246/index.do" TargetMode="External"/><Relationship Id="rId12" Type="http://schemas.openxmlformats.org/officeDocument/2006/relationships/hyperlink" Target="https://www2.gov.bc.ca/gov/content/governments/indigenous-people/new-relationship/united-nations-declaration-on-the-rights-of-indigenous-peoples" TargetMode="External"/><Relationship Id="rId13" Type="http://schemas.openxmlformats.org/officeDocument/2006/relationships/hyperlink" Target="https://www.bccourts.ca/jdb-txt/ca/25/04/2025BCCA0430.htm" TargetMode="External"/><Relationship Id="rId14" Type="http://schemas.openxmlformats.org/officeDocument/2006/relationships/hyperlink" Target="https://www.scc-csc.ca/cases-dossiers/search-recherche/42200/" TargetMode="External"/><Relationship Id="rId15" Type="http://schemas.openxmlformats.org/officeDocument/2006/relationships/hyperlink" Target="https://news.gov.bc.ca/releases/2026PREM0027-000438" TargetMode="External"/><Relationship Id="rId16" Type="http://schemas.openxmlformats.org/officeDocument/2006/relationships/hyperlink" Target="https://www.bccourts.ca/jdb-txt/sc/25/14/2025BCSC1490.htm" TargetMode="External"/><Relationship Id="rId17" Type="http://schemas.openxmlformats.org/officeDocument/2006/relationships/hyperlink" Target="https://news.gov.bc.ca/releases/2025AG0041-000758" TargetMode="External"/><Relationship Id="rId18" Type="http://schemas.openxmlformats.org/officeDocument/2006/relationships/hyperlink" Target="https://www.bccourts.ca/jdb-txt/ca/26/01/2026BCCA0137.htm" TargetMode="External"/><Relationship Id="rId19" Type="http://schemas.openxmlformats.org/officeDocument/2006/relationships/hyperlink" Target="https://www.sct-trp.ca/en/tribunal/about-tribunal" TargetMode="External"/><Relationship Id="rId20" Type="http://schemas.openxmlformats.org/officeDocument/2006/relationships/hyperlink" Target="https://www.rcaanc-cirnac.gc.ca/eng/1100100030577/1551196153650" TargetMode="External"/><Relationship Id="rId21" Type="http://schemas.openxmlformats.org/officeDocument/2006/relationships/hyperlink" Target="https://www.rcaanc-cirnac.gc.ca/eng/1677073191939/1677073214344" TargetMode="External"/><Relationship Id="rId22" Type="http://schemas.openxmlformats.org/officeDocument/2006/relationships/hyperlink" Target="https://www.canada.ca/en/crown-indigenous-relations-northern-affairs/news/2026/02/musqueam-and-canada-sign-historic-agreements-recognizing-rights-stewardship-and-fisheri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Indigenous Land Title, Governance and Industry Certainty in Canada</dc:title>
  <dc:subject>Executive briefing based on article FN summary</dc:subject>
  <dc:creator>Prepared for stakeholder review</dc:creator>
  <cp:keywords/>
  <dc:description>Current to July 21, 2026</dc:description>
  <cp:lastModifiedBy/>
  <cp:revision>1</cp:revision>
  <dcterms:created xsi:type="dcterms:W3CDTF">2013-12-23T23:15:00Z</dcterms:created>
  <dcterms:modified xsi:type="dcterms:W3CDTF">2013-12-23T23:15:00Z</dcterms:modified>
  <cp:category/>
</cp:coreProperties>
</file>